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Override ContentType="application/vnd.openxmlformats-officedocument.wordprocessingml.header+xml" PartName="/word/header2.xml"/>
  <Override ContentType="application/vnd.openxmlformats-officedocument.wordprocessingml.footer+xml" PartName="/word/footer2.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200"/>
        <w:jc w:val="center"/>
      </w:pPr>
      <w:r>
        <w:drawing>
          <wp:inline distT="0" distB="0" distL="0" distR="0">
            <wp:extent cx="1905000" cy="15240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1905000" cy="1524000"/>
                    </a:xfrm>
                    <a:prstGeom prst="rect">
                      <a:avLst/>
                    </a:prstGeom>
                  </pic:spPr>
                </pic:pic>
              </a:graphicData>
            </a:graphic>
          </wp:inline>
        </w:drawing>
      </w:r>
    </w:p>
    <w:p>
      <w:pPr>
        <w:spacing w:after="40" w:before="260"/>
        <w:jc w:val="center"/>
      </w:pPr>
      <w:r>
        <w:rPr>
          <w:rFonts w:ascii="Jost" w:cs="Jost" w:eastAsia="Jost" w:hAnsi="Jost"/>
          <w:b/>
          <w:bCs/>
          <w:color w:val="0A0E1C"/>
          <w:spacing w:val="40"/>
          <w:sz w:val="26"/>
          <w:szCs w:val="26"/>
        </w:rPr>
        <w:t xml:space="preserve">AURELYN AI CLINICAL</w:t>
      </w:r>
    </w:p>
    <w:p>
      <w:pPr>
        <w:spacing w:after="360"/>
        <w:jc w:val="center"/>
      </w:pPr>
      <w:r>
        <w:rPr>
          <w:rFonts w:ascii="Jost" w:cs="Jost" w:eastAsia="Jost" w:hAnsi="Jost"/>
          <w:color w:val="5B6480"/>
          <w:spacing w:val="60"/>
          <w:sz w:val="18"/>
          <w:szCs w:val="18"/>
        </w:rPr>
        <w:t xml:space="preserve">QUALITY &amp; COMPLIANCE — STANDARD OPERATING PROCEDURE</w:t>
      </w:r>
    </w:p>
    <w:p>
      <w:pPr>
        <w:spacing w:after="80"/>
        <w:jc w:val="center"/>
      </w:pPr>
      <w:r>
        <w:rPr>
          <w:rFonts w:ascii="JetBrains Mono" w:cs="JetBrains Mono" w:eastAsia="JetBrains Mono" w:hAnsi="JetBrains Mono"/>
          <w:b/>
          <w:bCs/>
          <w:color w:val="0F9E8E"/>
          <w:sz w:val="24"/>
          <w:szCs w:val="24"/>
        </w:rPr>
        <w:t xml:space="preserve">SOP PRI-002</w:t>
      </w:r>
    </w:p>
    <w:p>
      <w:pPr>
        <w:spacing w:after="260"/>
        <w:jc w:val="center"/>
      </w:pPr>
      <w:r>
        <w:rPr>
          <w:rFonts w:ascii="Cormorant Garamond" w:cs="Cormorant Garamond" w:eastAsia="Cormorant Garamond" w:hAnsi="Cormorant Garamond"/>
          <w:b/>
          <w:bCs/>
          <w:color w:val="0A0E1C"/>
          <w:sz w:val="56"/>
          <w:szCs w:val="56"/>
        </w:rPr>
        <w:t xml:space="preserve">GDPR Compliance for Clinical Trials</w:t>
      </w:r>
    </w:p>
    <w:p>
      <w:pPr>
        <w:spacing w:after="420"/>
        <w:jc w:val="center"/>
      </w:pPr>
      <w:r>
        <w:rPr>
          <w:rFonts w:ascii="Jost" w:cs="Jost" w:eastAsia="Jost" w:hAnsi="Jost"/>
          <w:i/>
          <w:iCs/>
          <w:color w:val="5B6480"/>
          <w:sz w:val="21"/>
          <w:szCs w:val="21"/>
        </w:rPr>
        <w:t xml:space="preserve">Aligning FDA and EMA regulatory frameworks with EU General Data Protection Regulation (2016/679) requirements across the Aurelyn Trial | OS™ clinical trial lifecycle.</w:t>
      </w:r>
    </w:p>
    <w:tbl>
      <w:tblPr>
        <w:tblW w:type="dxa" w:w="4674"/>
        <w:tblBorders>
          <w:top w:val="single" w:color="auto" w:sz="4"/>
          <w:left w:val="single" w:color="auto" w:sz="4"/>
          <w:bottom w:val="single" w:color="auto" w:sz="4"/>
          <w:right w:val="single" w:color="auto" w:sz="4"/>
          <w:insideH w:val="single" w:color="auto" w:sz="4"/>
          <w:insideV w:val="single" w:color="auto" w:sz="4"/>
        </w:tblBorders>
      </w:tblPr>
      <w:tblGrid>
        <w:gridCol w:w="2337"/>
        <w:gridCol w:w="2337"/>
      </w:tblGrid>
      <w:tr>
        <w:tc>
          <w:tcPr>
            <w:tcW w:type="dxa" w:w="2337"/>
            <w:shd w:fill="F3F5FA" w:val="clear"/>
            <w:tcMar>
              <w:top w:type="dxa" w:w="90"/>
              <w:left w:type="dxa" w:w="110"/>
              <w:bottom w:type="dxa" w:w="90"/>
              <w:right w:type="dxa" w:w="110"/>
            </w:tcMar>
            <w:vAlign w:val="top"/>
          </w:tcPr>
          <w:p>
            <w:r>
              <w:rPr>
                <w:rFonts w:ascii="Jost" w:cs="Jost" w:eastAsia="Jost" w:hAnsi="Jost"/>
                <w:b/>
                <w:bCs/>
                <w:color w:val="5B6480"/>
                <w:sz w:val="16"/>
                <w:szCs w:val="16"/>
              </w:rPr>
              <w:t xml:space="preserve">Version</w:t>
            </w:r>
          </w:p>
          <w:p>
            <w:r>
              <w:rPr>
                <w:rFonts w:ascii="JetBrains Mono" w:cs="JetBrains Mono" w:eastAsia="JetBrains Mono" w:hAnsi="JetBrains Mono"/>
                <w:b/>
                <w:bCs/>
                <w:color w:val="0A0E1C"/>
                <w:sz w:val="20"/>
                <w:szCs w:val="20"/>
              </w:rPr>
              <w:t xml:space="preserve">1.0</w:t>
            </w:r>
          </w:p>
        </w:tc>
        <w:tc>
          <w:tcPr>
            <w:tcW w:type="dxa" w:w="2337"/>
            <w:tcMar>
              <w:top w:type="dxa" w:w="90"/>
              <w:left w:type="dxa" w:w="110"/>
              <w:bottom w:type="dxa" w:w="90"/>
              <w:right w:type="dxa" w:w="110"/>
            </w:tcMar>
            <w:vAlign w:val="top"/>
          </w:tcPr>
          <w:p>
            <w:r>
              <w:rPr>
                <w:rFonts w:ascii="Jost" w:cs="Jost" w:eastAsia="Jost" w:hAnsi="Jost"/>
                <w:b/>
                <w:bCs/>
                <w:color w:val="5B6480"/>
                <w:sz w:val="16"/>
                <w:szCs w:val="16"/>
              </w:rPr>
              <w:t xml:space="preserve">Effective Date</w:t>
            </w:r>
          </w:p>
          <w:p>
            <w:r>
              <w:rPr>
                <w:rFonts w:ascii="JetBrains Mono" w:cs="JetBrains Mono" w:eastAsia="JetBrains Mono" w:hAnsi="JetBrains Mono"/>
                <w:b/>
                <w:bCs/>
                <w:color w:val="0A0E1C"/>
                <w:sz w:val="20"/>
                <w:szCs w:val="20"/>
              </w:rPr>
              <w:t xml:space="preserve">15-Jul-2026</w:t>
            </w:r>
          </w:p>
        </w:tc>
      </w:tr>
      <w:tr>
        <w:tc>
          <w:tcPr>
            <w:tcW w:type="dxa" w:w="2337"/>
            <w:shd w:fill="F3F5FA" w:val="clear"/>
            <w:tcMar>
              <w:top w:type="dxa" w:w="90"/>
              <w:left w:type="dxa" w:w="110"/>
              <w:bottom w:type="dxa" w:w="90"/>
              <w:right w:type="dxa" w:w="110"/>
            </w:tcMar>
            <w:vAlign w:val="top"/>
          </w:tcPr>
          <w:p>
            <w:r>
              <w:rPr>
                <w:rFonts w:ascii="Jost" w:cs="Jost" w:eastAsia="Jost" w:hAnsi="Jost"/>
                <w:b/>
                <w:bCs/>
                <w:color w:val="5B6480"/>
                <w:sz w:val="16"/>
                <w:szCs w:val="16"/>
              </w:rPr>
              <w:t xml:space="preserve">Review Cycle</w:t>
            </w:r>
          </w:p>
          <w:p>
            <w:r>
              <w:rPr>
                <w:rFonts w:ascii="JetBrains Mono" w:cs="JetBrains Mono" w:eastAsia="JetBrains Mono" w:hAnsi="JetBrains Mono"/>
                <w:b/>
                <w:bCs/>
                <w:color w:val="0A0E1C"/>
                <w:sz w:val="20"/>
                <w:szCs w:val="20"/>
              </w:rPr>
              <w:t xml:space="preserve">Annual</w:t>
            </w:r>
          </w:p>
        </w:tc>
        <w:tc>
          <w:tcPr>
            <w:tcW w:type="dxa" w:w="2337"/>
            <w:tcMar>
              <w:top w:type="dxa" w:w="90"/>
              <w:left w:type="dxa" w:w="110"/>
              <w:bottom w:type="dxa" w:w="90"/>
              <w:right w:type="dxa" w:w="110"/>
            </w:tcMar>
            <w:vAlign w:val="top"/>
          </w:tcPr>
          <w:p>
            <w:r>
              <w:rPr>
                <w:rFonts w:ascii="Jost" w:cs="Jost" w:eastAsia="Jost" w:hAnsi="Jost"/>
                <w:b/>
                <w:bCs/>
                <w:color w:val="5B6480"/>
                <w:sz w:val="16"/>
                <w:szCs w:val="16"/>
              </w:rPr>
              <w:t xml:space="preserve">Supersedes</w:t>
            </w:r>
          </w:p>
          <w:p>
            <w:r>
              <w:rPr>
                <w:rFonts w:ascii="JetBrains Mono" w:cs="JetBrains Mono" w:eastAsia="JetBrains Mono" w:hAnsi="JetBrains Mono"/>
                <w:b/>
                <w:bCs/>
                <w:color w:val="0A0E1C"/>
                <w:sz w:val="20"/>
                <w:szCs w:val="20"/>
              </w:rPr>
              <w:t xml:space="preserve">New Document</w:t>
            </w:r>
          </w:p>
        </w:tc>
      </w:tr>
      <w:tr>
        <w:tc>
          <w:tcPr>
            <w:tcW w:type="dxa" w:w="2337"/>
            <w:shd w:fill="F3F5FA" w:val="clear"/>
            <w:tcMar>
              <w:top w:type="dxa" w:w="90"/>
              <w:left w:type="dxa" w:w="110"/>
              <w:bottom w:type="dxa" w:w="90"/>
              <w:right w:type="dxa" w:w="110"/>
            </w:tcMar>
            <w:vAlign w:val="top"/>
          </w:tcPr>
          <w:p>
            <w:r>
              <w:rPr>
                <w:rFonts w:ascii="Jost" w:cs="Jost" w:eastAsia="Jost" w:hAnsi="Jost"/>
                <w:b/>
                <w:bCs/>
                <w:color w:val="5B6480"/>
                <w:sz w:val="16"/>
                <w:szCs w:val="16"/>
              </w:rPr>
              <w:t xml:space="preserve">Process Owner</w:t>
            </w:r>
          </w:p>
          <w:p>
            <w:r>
              <w:rPr>
                <w:rFonts w:ascii="JetBrains Mono" w:cs="JetBrains Mono" w:eastAsia="JetBrains Mono" w:hAnsi="JetBrains Mono"/>
                <w:b/>
                <w:bCs/>
                <w:color w:val="0A0E1C"/>
                <w:sz w:val="20"/>
                <w:szCs w:val="20"/>
              </w:rPr>
              <w:t xml:space="preserve">Data Protection Lead</w:t>
            </w:r>
          </w:p>
        </w:tc>
        <w:tc>
          <w:tcPr>
            <w:tcW w:type="dxa" w:w="2337"/>
            <w:tcMar>
              <w:top w:type="dxa" w:w="90"/>
              <w:left w:type="dxa" w:w="110"/>
              <w:bottom w:type="dxa" w:w="90"/>
              <w:right w:type="dxa" w:w="110"/>
            </w:tcMar>
            <w:vAlign w:val="top"/>
          </w:tcPr>
          <w:p>
            <w:r>
              <w:rPr>
                <w:rFonts w:ascii="Jost" w:cs="Jost" w:eastAsia="Jost" w:hAnsi="Jost"/>
                <w:b/>
                <w:bCs/>
                <w:color w:val="5B6480"/>
                <w:sz w:val="16"/>
                <w:szCs w:val="16"/>
              </w:rPr>
              <w:t xml:space="preserve">Classification</w:t>
            </w:r>
          </w:p>
          <w:p>
            <w:r>
              <w:rPr>
                <w:rFonts w:ascii="JetBrains Mono" w:cs="JetBrains Mono" w:eastAsia="JetBrains Mono" w:hAnsi="JetBrains Mono"/>
                <w:b/>
                <w:bCs/>
                <w:color w:val="0A0E1C"/>
                <w:sz w:val="20"/>
                <w:szCs w:val="20"/>
              </w:rPr>
              <w:t xml:space="preserve">Controlled Document</w:t>
            </w:r>
          </w:p>
        </w:tc>
      </w:tr>
      <w:tr>
        <w:tc>
          <w:tcPr>
            <w:tcW w:type="dxa" w:w="2337"/>
            <w:shd w:fill="F3F5FA" w:val="clear"/>
            <w:tcMar>
              <w:top w:type="dxa" w:w="90"/>
              <w:left w:type="dxa" w:w="110"/>
              <w:bottom w:type="dxa" w:w="90"/>
              <w:right w:type="dxa" w:w="110"/>
            </w:tcMar>
            <w:vAlign w:val="top"/>
          </w:tcPr>
          <w:p>
            <w:r>
              <w:rPr>
                <w:rFonts w:ascii="Jost" w:cs="Jost" w:eastAsia="Jost" w:hAnsi="Jost"/>
                <w:b/>
                <w:bCs/>
                <w:color w:val="5B6480"/>
                <w:sz w:val="16"/>
                <w:szCs w:val="16"/>
              </w:rPr>
              <w:t xml:space="preserve">Approved By</w:t>
            </w:r>
          </w:p>
          <w:p>
            <w:r>
              <w:rPr>
                <w:rFonts w:ascii="JetBrains Mono" w:cs="JetBrains Mono" w:eastAsia="JetBrains Mono" w:hAnsi="JetBrains Mono"/>
                <w:b/>
                <w:bCs/>
                <w:color w:val="0A0E1C"/>
                <w:sz w:val="20"/>
                <w:szCs w:val="20"/>
              </w:rPr>
              <w:t xml:space="preserve">CEO / Chief AI &amp; Innovation Officer</w:t>
            </w:r>
          </w:p>
        </w:tc>
        <w:tc>
          <w:tcPr>
            <w:tcW w:type="dxa" w:w="2337"/>
            <w:tcMar>
              <w:top w:type="dxa" w:w="90"/>
              <w:left w:type="dxa" w:w="110"/>
              <w:bottom w:type="dxa" w:w="90"/>
              <w:right w:type="dxa" w:w="110"/>
            </w:tcMar>
            <w:vAlign w:val="top"/>
          </w:tcPr>
          <w:p>
            <w:r>
              <w:rPr>
                <w:rFonts w:ascii="Jost" w:cs="Jost" w:eastAsia="Jost" w:hAnsi="Jost"/>
                <w:b/>
                <w:bCs/>
                <w:color w:val="5B6480"/>
                <w:sz w:val="16"/>
                <w:szCs w:val="16"/>
              </w:rPr>
              <w:t xml:space="preserve">Status</w:t>
            </w:r>
          </w:p>
          <w:p>
            <w:r>
              <w:rPr>
                <w:rFonts w:ascii="JetBrains Mono" w:cs="JetBrains Mono" w:eastAsia="JetBrains Mono" w:hAnsi="JetBrains Mono"/>
                <w:b/>
                <w:bCs/>
                <w:color w:val="0A0E1C"/>
                <w:sz w:val="20"/>
                <w:szCs w:val="20"/>
              </w:rPr>
              <w:t xml:space="preserve">Effective</w:t>
            </w:r>
          </w:p>
        </w:tc>
      </w:tr>
    </w:tbl>
    <w:p>
      <w:r>
        <w:br w:type="page"/>
      </w:r>
    </w:p>
    <w:p>
      <w:pPr>
        <w:sectPr>
          <w:headerReference w:type="default" r:id="rId7"/>
          <w:footerReference w:type="default" r:id="rId8"/>
          <w:pgSz w:w="12240" w:h="15840" w:orient="portrait"/>
          <w:pgMar w:top="1080" w:right="1080" w:bottom="1080" w:left="1080" w:header="708" w:footer="708" w:gutter="0"/>
          <w:pgNumType/>
          <w:docGrid w:linePitch="360"/>
        </w:sectPr>
      </w:pPr>
    </w:p>
    <w:p>
      <w:pPr>
        <w:pStyle w:val="Heading1"/>
        <w:pBdr>
          <w:bottom w:val="single" w:color="0F9E8E" w:sz="8" w:space="6"/>
        </w:pBdr>
        <w:spacing w:after="200" w:before="400"/>
      </w:pPr>
      <w:r>
        <w:rPr>
          <w:rFonts w:ascii="Jost" w:cs="Jost" w:eastAsia="Jost" w:hAnsi="Jost"/>
          <w:b/>
          <w:bCs/>
          <w:color w:val="0F9E8E"/>
        </w:rPr>
        <w:t xml:space="preserve"/>
      </w:r>
      <w:r>
        <w:rPr>
          <w:rFonts w:ascii="Cormorant Garamond" w:cs="Cormorant Garamond" w:eastAsia="Cormorant Garamond" w:hAnsi="Cormorant Garamond"/>
          <w:b/>
          <w:bCs/>
          <w:color w:val="0A0E1C"/>
          <w:sz w:val="34"/>
          <w:szCs w:val="34"/>
        </w:rPr>
        <w:t xml:space="preserve">Table of Contents</w:t>
      </w:r>
    </w:p>
    <w:p>
      <w:pPr>
        <w:tabs>
          <w:tab w:val="right" w:pos="9026" w:leader="dot"/>
        </w:tabs>
        <w:spacing w:after="90"/>
        <w:ind w:left="0"/>
      </w:pPr>
      <w:r>
        <w:rPr>
          <w:rFonts w:ascii="Cormorant Garamond" w:cs="Cormorant Garamond" w:eastAsia="Cormorant Garamond" w:hAnsi="Cormorant Garamond"/>
          <w:b/>
          <w:bCs/>
          <w:color w:val="0A0E1C"/>
          <w:sz w:val="24"/>
          <w:szCs w:val="24"/>
        </w:rPr>
        <w:t xml:space="preserve">1.  </w:t>
      </w:r>
      <w:r>
        <w:rPr>
          <w:rFonts w:ascii="Cormorant Garamond" w:cs="Cormorant Garamond" w:eastAsia="Cormorant Garamond" w:hAnsi="Cormorant Garamond"/>
          <w:b/>
          <w:bCs/>
          <w:color w:val="0A0E1C"/>
          <w:sz w:val="24"/>
          <w:szCs w:val="24"/>
        </w:rPr>
        <w:t xml:space="preserve">Purpose</w:t>
      </w:r>
    </w:p>
    <w:p>
      <w:pPr>
        <w:tabs>
          <w:tab w:val="right" w:pos="9026" w:leader="dot"/>
        </w:tabs>
        <w:spacing w:after="90"/>
        <w:ind w:left="0"/>
      </w:pPr>
      <w:r>
        <w:rPr>
          <w:rFonts w:ascii="Cormorant Garamond" w:cs="Cormorant Garamond" w:eastAsia="Cormorant Garamond" w:hAnsi="Cormorant Garamond"/>
          <w:b/>
          <w:bCs/>
          <w:color w:val="0A0E1C"/>
          <w:sz w:val="24"/>
          <w:szCs w:val="24"/>
        </w:rPr>
        <w:t xml:space="preserve">2.  </w:t>
      </w:r>
      <w:r>
        <w:rPr>
          <w:rFonts w:ascii="Cormorant Garamond" w:cs="Cormorant Garamond" w:eastAsia="Cormorant Garamond" w:hAnsi="Cormorant Garamond"/>
          <w:b/>
          <w:bCs/>
          <w:color w:val="0A0E1C"/>
          <w:sz w:val="24"/>
          <w:szCs w:val="24"/>
        </w:rPr>
        <w:t xml:space="preserve">Scope</w:t>
      </w:r>
    </w:p>
    <w:p>
      <w:pPr>
        <w:tabs>
          <w:tab w:val="right" w:pos="9026" w:leader="dot"/>
        </w:tabs>
        <w:spacing w:after="90"/>
        <w:ind w:left="0"/>
      </w:pPr>
      <w:r>
        <w:rPr>
          <w:rFonts w:ascii="Cormorant Garamond" w:cs="Cormorant Garamond" w:eastAsia="Cormorant Garamond" w:hAnsi="Cormorant Garamond"/>
          <w:b/>
          <w:bCs/>
          <w:color w:val="0A0E1C"/>
          <w:sz w:val="24"/>
          <w:szCs w:val="24"/>
        </w:rPr>
        <w:t xml:space="preserve">3.  </w:t>
      </w:r>
      <w:r>
        <w:rPr>
          <w:rFonts w:ascii="Cormorant Garamond" w:cs="Cormorant Garamond" w:eastAsia="Cormorant Garamond" w:hAnsi="Cormorant Garamond"/>
          <w:b/>
          <w:bCs/>
          <w:color w:val="0A0E1C"/>
          <w:sz w:val="24"/>
          <w:szCs w:val="24"/>
        </w:rPr>
        <w:t xml:space="preserve">Responsibilities</w:t>
      </w:r>
    </w:p>
    <w:p>
      <w:pPr>
        <w:tabs>
          <w:tab w:val="right" w:pos="9026" w:leader="dot"/>
        </w:tabs>
        <w:spacing w:after="90"/>
        <w:ind w:left="0"/>
      </w:pPr>
      <w:r>
        <w:rPr>
          <w:rFonts w:ascii="Cormorant Garamond" w:cs="Cormorant Garamond" w:eastAsia="Cormorant Garamond" w:hAnsi="Cormorant Garamond"/>
          <w:b/>
          <w:bCs/>
          <w:color w:val="0A0E1C"/>
          <w:sz w:val="24"/>
          <w:szCs w:val="24"/>
        </w:rPr>
        <w:t xml:space="preserve">4.  </w:t>
      </w:r>
      <w:r>
        <w:rPr>
          <w:rFonts w:ascii="Cormorant Garamond" w:cs="Cormorant Garamond" w:eastAsia="Cormorant Garamond" w:hAnsi="Cormorant Garamond"/>
          <w:b/>
          <w:bCs/>
          <w:color w:val="0A0E1C"/>
          <w:sz w:val="24"/>
          <w:szCs w:val="24"/>
        </w:rPr>
        <w:t xml:space="preserve">Definitions &amp; Abbreviations</w:t>
      </w:r>
    </w:p>
    <w:p>
      <w:pPr>
        <w:tabs>
          <w:tab w:val="right" w:pos="9026" w:leader="dot"/>
        </w:tabs>
        <w:spacing w:after="90"/>
        <w:ind w:left="0"/>
      </w:pPr>
      <w:r>
        <w:rPr>
          <w:rFonts w:ascii="Cormorant Garamond" w:cs="Cormorant Garamond" w:eastAsia="Cormorant Garamond" w:hAnsi="Cormorant Garamond"/>
          <w:b/>
          <w:bCs/>
          <w:color w:val="0A0E1C"/>
          <w:sz w:val="24"/>
          <w:szCs w:val="24"/>
        </w:rPr>
        <w:t xml:space="preserve">5.  </w:t>
      </w:r>
      <w:r>
        <w:rPr>
          <w:rFonts w:ascii="Cormorant Garamond" w:cs="Cormorant Garamond" w:eastAsia="Cormorant Garamond" w:hAnsi="Cormorant Garamond"/>
          <w:b/>
          <w:bCs/>
          <w:color w:val="0A0E1C"/>
          <w:sz w:val="24"/>
          <w:szCs w:val="24"/>
        </w:rPr>
        <w:t xml:space="preserve">Regulatory &amp; Guidance Framework</w:t>
      </w:r>
    </w:p>
    <w:p>
      <w:pPr>
        <w:tabs>
          <w:tab w:val="right" w:pos="9026" w:leader="dot"/>
        </w:tabs>
        <w:spacing w:after="90"/>
        <w:ind w:left="0"/>
      </w:pPr>
      <w:r>
        <w:rPr>
          <w:rFonts w:ascii="Cormorant Garamond" w:cs="Cormorant Garamond" w:eastAsia="Cormorant Garamond" w:hAnsi="Cormorant Garamond"/>
          <w:b/>
          <w:bCs/>
          <w:color w:val="0A0E1C"/>
          <w:sz w:val="24"/>
          <w:szCs w:val="24"/>
        </w:rPr>
        <w:t xml:space="preserve">6.  </w:t>
      </w:r>
      <w:r>
        <w:rPr>
          <w:rFonts w:ascii="Cormorant Garamond" w:cs="Cormorant Garamond" w:eastAsia="Cormorant Garamond" w:hAnsi="Cormorant Garamond"/>
          <w:b/>
          <w:bCs/>
          <w:color w:val="0A0E1C"/>
          <w:sz w:val="24"/>
          <w:szCs w:val="24"/>
        </w:rPr>
        <w:t xml:space="preserve">Policy Statement</w:t>
      </w:r>
    </w:p>
    <w:p>
      <w:pPr>
        <w:tabs>
          <w:tab w:val="right" w:pos="9026" w:leader="dot"/>
        </w:tabs>
        <w:spacing w:after="90"/>
        <w:ind w:left="0"/>
      </w:pPr>
      <w:r>
        <w:rPr>
          <w:rFonts w:ascii="Cormorant Garamond" w:cs="Cormorant Garamond" w:eastAsia="Cormorant Garamond" w:hAnsi="Cormorant Garamond"/>
          <w:b/>
          <w:bCs/>
          <w:color w:val="0A0E1C"/>
          <w:sz w:val="24"/>
          <w:szCs w:val="24"/>
        </w:rPr>
        <w:t xml:space="preserve">7.  </w:t>
      </w:r>
      <w:r>
        <w:rPr>
          <w:rFonts w:ascii="Cormorant Garamond" w:cs="Cormorant Garamond" w:eastAsia="Cormorant Garamond" w:hAnsi="Cormorant Garamond"/>
          <w:b/>
          <w:bCs/>
          <w:color w:val="0A0E1C"/>
          <w:sz w:val="24"/>
          <w:szCs w:val="24"/>
        </w:rPr>
        <w:t xml:space="preserve">Procedure</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7.1  Roles &amp; Applicability</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7.2  Legal Basis for Processing</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7.3  Privacy by Design</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7.4  Data Protection Impact Assessment</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7.5  Consent &amp; Transparency Notices</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7.6  Data Subject Rights</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7.7  International Data Transfers</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7.8  Data Processing Agreements</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7.9  Security of Processing</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7.10  Breach Management</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7.11  Records of Processing (ROPA)</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7.12  Retention &amp; Destruction</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7.13  EU CTR 536/2014 &amp; CTIS</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7.14  ICH M11 CeSHarP</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7.15  AI &amp; Clinical Engines™ Governance</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7.16  Cross-Border Safety Reporting</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7.17  Training &amp; Awareness</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7.18  Deviations &amp; CAPA</w:t>
      </w:r>
    </w:p>
    <w:p>
      <w:pPr>
        <w:tabs>
          <w:tab w:val="right" w:pos="9026" w:leader="dot"/>
        </w:tabs>
        <w:spacing w:after="90"/>
        <w:ind w:left="0"/>
      </w:pPr>
      <w:r>
        <w:rPr>
          <w:rFonts w:ascii="Cormorant Garamond" w:cs="Cormorant Garamond" w:eastAsia="Cormorant Garamond" w:hAnsi="Cormorant Garamond"/>
          <w:b/>
          <w:bCs/>
          <w:color w:val="0A0E1C"/>
          <w:sz w:val="24"/>
          <w:szCs w:val="24"/>
        </w:rPr>
        <w:t xml:space="preserve">8.  </w:t>
      </w:r>
      <w:r>
        <w:rPr>
          <w:rFonts w:ascii="Cormorant Garamond" w:cs="Cormorant Garamond" w:eastAsia="Cormorant Garamond" w:hAnsi="Cormorant Garamond"/>
          <w:b/>
          <w:bCs/>
          <w:color w:val="0A0E1C"/>
          <w:sz w:val="24"/>
          <w:szCs w:val="24"/>
        </w:rPr>
        <w:t xml:space="preserve">Documentation &amp; Records</w:t>
      </w:r>
    </w:p>
    <w:p>
      <w:pPr>
        <w:tabs>
          <w:tab w:val="right" w:pos="9026" w:leader="dot"/>
        </w:tabs>
        <w:spacing w:after="90"/>
        <w:ind w:left="0"/>
      </w:pPr>
      <w:r>
        <w:rPr>
          <w:rFonts w:ascii="Cormorant Garamond" w:cs="Cormorant Garamond" w:eastAsia="Cormorant Garamond" w:hAnsi="Cormorant Garamond"/>
          <w:b/>
          <w:bCs/>
          <w:color w:val="0A0E1C"/>
          <w:sz w:val="24"/>
          <w:szCs w:val="24"/>
        </w:rPr>
        <w:t xml:space="preserve">9.  </w:t>
      </w:r>
      <w:r>
        <w:rPr>
          <w:rFonts w:ascii="Cormorant Garamond" w:cs="Cormorant Garamond" w:eastAsia="Cormorant Garamond" w:hAnsi="Cormorant Garamond"/>
          <w:b/>
          <w:bCs/>
          <w:color w:val="0A0E1C"/>
          <w:sz w:val="24"/>
          <w:szCs w:val="24"/>
        </w:rPr>
        <w:t xml:space="preserve">Related Documents</w:t>
      </w:r>
    </w:p>
    <w:p>
      <w:pPr>
        <w:tabs>
          <w:tab w:val="right" w:pos="9026" w:leader="dot"/>
        </w:tabs>
        <w:spacing w:after="90"/>
        <w:ind w:left="0"/>
      </w:pPr>
      <w:r>
        <w:rPr>
          <w:rFonts w:ascii="Cormorant Garamond" w:cs="Cormorant Garamond" w:eastAsia="Cormorant Garamond" w:hAnsi="Cormorant Garamond"/>
          <w:b/>
          <w:bCs/>
          <w:color w:val="0A0E1C"/>
          <w:sz w:val="24"/>
          <w:szCs w:val="24"/>
        </w:rPr>
        <w:t xml:space="preserve">10.  </w:t>
      </w:r>
      <w:r>
        <w:rPr>
          <w:rFonts w:ascii="Cormorant Garamond" w:cs="Cormorant Garamond" w:eastAsia="Cormorant Garamond" w:hAnsi="Cormorant Garamond"/>
          <w:b/>
          <w:bCs/>
          <w:color w:val="0A0E1C"/>
          <w:sz w:val="24"/>
          <w:szCs w:val="24"/>
        </w:rPr>
        <w:t xml:space="preserve">Appendices</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A — RACI Matrix</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B — DPIA Screening Checklist</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C — Data Retention Schedule</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D — International Transfer Decision Tree</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E — Breach Notification Timeline</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F — Regulatory Crosswalk</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G — Revision History</w:t>
      </w:r>
    </w:p>
    <w:p>
      <w:pPr>
        <w:tabs>
          <w:tab w:val="right" w:pos="9026" w:leader="dot"/>
        </w:tabs>
        <w:spacing w:after="60"/>
        <w:ind w:left="360"/>
      </w:pPr>
      <w:r>
        <w:rPr>
          <w:rFonts w:ascii="Jost" w:cs="Jost" w:eastAsia="Jost" w:hAnsi="Jost"/>
          <w:b w:val="false"/>
          <w:bCs w:val="false"/>
          <w:color w:val="5B6480"/>
          <w:sz w:val="20"/>
          <w:szCs w:val="20"/>
        </w:rPr>
        <w:t xml:space="preserve"/>
      </w:r>
      <w:r>
        <w:rPr>
          <w:rFonts w:ascii="Jost" w:cs="Jost" w:eastAsia="Jost" w:hAnsi="Jost"/>
          <w:b w:val="false"/>
          <w:bCs w:val="false"/>
          <w:color w:val="1B2233"/>
          <w:sz w:val="20"/>
          <w:szCs w:val="20"/>
        </w:rPr>
        <w:t xml:space="preserve">H — Approval</w:t>
      </w:r>
    </w:p>
    <w:p>
      <w:r>
        <w:br w:type="page"/>
      </w:r>
    </w:p>
    <w:p>
      <w:pPr>
        <w:pStyle w:val="Heading1"/>
        <w:pBdr>
          <w:bottom w:val="single" w:color="0F9E8E" w:sz="8" w:space="6"/>
        </w:pBdr>
        <w:spacing w:after="200" w:before="400"/>
      </w:pPr>
      <w:r>
        <w:rPr>
          <w:rFonts w:ascii="Jost" w:cs="Jost" w:eastAsia="Jost" w:hAnsi="Jost"/>
          <w:b/>
          <w:bCs/>
          <w:color w:val="0F9E8E"/>
        </w:rPr>
        <w:t xml:space="preserve">1.  </w:t>
      </w:r>
      <w:r>
        <w:rPr>
          <w:rFonts w:ascii="Cormorant Garamond" w:cs="Cormorant Garamond" w:eastAsia="Cormorant Garamond" w:hAnsi="Cormorant Garamond"/>
          <w:b/>
          <w:bCs/>
          <w:color w:val="0A0E1C"/>
          <w:sz w:val="34"/>
          <w:szCs w:val="34"/>
        </w:rPr>
        <w:t xml:space="preserve">Purpose</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9350"/>
      </w:tblGrid>
      <w:tr>
        <w:tc>
          <w:tcPr>
            <w:tcBorders>
              <w:top w:val="single" w:color="D8DCE8" w:sz="2"/>
              <w:left w:val="single" w:color="6D4FC7" w:sz="24"/>
              <w:bottom w:val="single" w:color="D8DCE8" w:sz="2"/>
              <w:right w:val="single" w:color="D8DCE8" w:sz="2"/>
            </w:tcBorders>
            <w:shd w:fill="F5F6FB" w:val="clear"/>
            <w:tcMar>
              <w:top w:type="dxa" w:w="140"/>
              <w:left w:type="dxa" w:w="200"/>
              <w:bottom w:type="dxa" w:w="140"/>
              <w:right w:type="dxa" w:w="200"/>
            </w:tcMar>
          </w:tcPr>
          <w:p>
            <w:pPr>
              <w:spacing w:after="60"/>
            </w:pPr>
            <w:r>
              <w:rPr>
                <w:rFonts w:ascii="Jost" w:cs="Jost" w:eastAsia="Jost" w:hAnsi="Jost"/>
                <w:b/>
                <w:bCs/>
                <w:color w:val="6D4FC7"/>
                <w:sz w:val="17"/>
                <w:szCs w:val="17"/>
              </w:rPr>
              <w:t xml:space="preserve">LEARNING &amp; APPLICATION OBJECTIVES</w:t>
            </w:r>
          </w:p>
          <w:p>
            <w:r>
              <w:rPr>
                <w:rFonts w:ascii="Jost" w:cs="Jost" w:eastAsia="Jost" w:hAnsi="Jost"/>
                <w:color w:val="1B2233"/>
                <w:sz w:val="21"/>
                <w:szCs w:val="21"/>
              </w:rPr>
              <w:t xml:space="preserve">Understand how GDPR applies to clinical trial personal data · Apply the correct legal basis when designing protocols, consent materials, and data flows · Analyze cross-border transfer and vendor arrangements for GDPR adequacy · Evaluate and respond to data subject requests, breaches, and audit findings in a compliant, timely manner.</w:t>
            </w:r>
          </w:p>
        </w:tc>
      </w:tr>
    </w:tbl>
    <w:p>
      <w:pPr>
        <w:spacing w:after="140"/>
      </w:pPr>
      <w:r>
        <w:rPr>
          <w:rFonts w:ascii="Jost" w:cs="Jost" w:eastAsia="Jost" w:hAnsi="Jost"/>
          <w:color w:val="1B2233"/>
          <w:sz w:val="21"/>
          <w:szCs w:val="21"/>
        </w:rPr>
        <w:t xml:space="preserve"/>
      </w:r>
    </w:p>
    <w:p>
      <w:pPr>
        <w:spacing w:after="140"/>
      </w:pPr>
      <w:r>
        <w:rPr>
          <w:rFonts w:ascii="Jost" w:cs="Jost" w:eastAsia="Jost" w:hAnsi="Jost"/>
          <w:color w:val="1B2233"/>
          <w:sz w:val="21"/>
          <w:szCs w:val="21"/>
        </w:rPr>
        <w:t xml:space="preserve">This Standard Operating Procedure (“SOP”) establishes the mandatory requirements and step-by-step procedure for ensuring compliance with the General Data Protection Regulation (EU) 2016/679 (“GDPR”) whenever Aurelyn AI Clinical, its sponsor clients, contracted Clinical Research Organizations (“CROs”), investigator sites, or the Aurelyn Trial | OS™ platform and Aurelyn Clinical Engines™ (Cohort Intelligence™, Adaptive Dose™, Safety Sentinel™, Clinical Evidence™, eTMF Intelligence™) process personal data of clinical trial data subjects.</w:t>
      </w:r>
    </w:p>
    <w:p>
      <w:pPr>
        <w:spacing w:after="140"/>
      </w:pPr>
      <w:r>
        <w:rPr>
          <w:rFonts w:ascii="Jost" w:cs="Jost" w:eastAsia="Jost" w:hAnsi="Jost"/>
          <w:color w:val="1B2233"/>
          <w:sz w:val="21"/>
          <w:szCs w:val="21"/>
        </w:rPr>
        <w:t xml:space="preserve">It defines how GDPR obligations are harmonized with FDA (US) and EMA (EU) clinical research regulations so that a single, integrated control framework governs trial data regardless of the jurisdiction in which it is collected, processed, transferred, or archived.</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9350"/>
      </w:tblGrid>
      <w:tr>
        <w:tc>
          <w:tcPr>
            <w:tcBorders>
              <w:top w:val="single" w:color="D8DCE8" w:sz="2"/>
              <w:left w:val="single" w:color="A9822A" w:sz="24"/>
              <w:bottom w:val="single" w:color="D8DCE8" w:sz="2"/>
              <w:right w:val="single" w:color="D8DCE8" w:sz="2"/>
            </w:tcBorders>
            <w:shd w:fill="F5F6FB" w:val="clear"/>
            <w:tcMar>
              <w:top w:type="dxa" w:w="140"/>
              <w:left w:type="dxa" w:w="200"/>
              <w:bottom w:type="dxa" w:w="140"/>
              <w:right w:type="dxa" w:w="200"/>
            </w:tcMar>
          </w:tcPr>
          <w:p>
            <w:pPr>
              <w:spacing w:after="60"/>
            </w:pPr>
            <w:r>
              <w:rPr>
                <w:rFonts w:ascii="Jost" w:cs="Jost" w:eastAsia="Jost" w:hAnsi="Jost"/>
                <w:b/>
                <w:bCs/>
                <w:color w:val="A9822A"/>
                <w:sz w:val="17"/>
                <w:szCs w:val="17"/>
              </w:rPr>
              <w:t xml:space="preserve">WHY THIS MATTERS</w:t>
            </w:r>
          </w:p>
          <w:p>
            <w:r>
              <w:rPr>
                <w:rFonts w:ascii="Jost" w:cs="Jost" w:eastAsia="Jost" w:hAnsi="Jost"/>
                <w:color w:val="1B2233"/>
                <w:sz w:val="21"/>
                <w:szCs w:val="21"/>
              </w:rPr>
              <w:t xml:space="preserve">GDPR non-compliance carries administrative fines of up to €20 million or 4% of global annual turnover, whichever is higher (Art. 83(5)), in addition to trial delays, CTIS submission rejection, and reputational harm.</w:t>
            </w:r>
          </w:p>
        </w:tc>
      </w:tr>
    </w:tbl>
    <w:p>
      <w:pPr>
        <w:pStyle w:val="Heading1"/>
        <w:pBdr>
          <w:bottom w:val="single" w:color="0F9E8E" w:sz="8" w:space="6"/>
        </w:pBdr>
        <w:spacing w:after="200" w:before="400"/>
      </w:pPr>
      <w:r>
        <w:rPr>
          <w:rFonts w:ascii="Jost" w:cs="Jost" w:eastAsia="Jost" w:hAnsi="Jost"/>
          <w:b/>
          <w:bCs/>
          <w:color w:val="0F9E8E"/>
        </w:rPr>
        <w:t xml:space="preserve">2.  </w:t>
      </w:r>
      <w:r>
        <w:rPr>
          <w:rFonts w:ascii="Cormorant Garamond" w:cs="Cormorant Garamond" w:eastAsia="Cormorant Garamond" w:hAnsi="Cormorant Garamond"/>
          <w:b/>
          <w:bCs/>
          <w:color w:val="0A0E1C"/>
          <w:sz w:val="34"/>
          <w:szCs w:val="34"/>
        </w:rPr>
        <w:t xml:space="preserve">Scope</w:t>
      </w:r>
    </w:p>
    <w:p>
      <w:pPr>
        <w:pStyle w:val="Heading3"/>
        <w:spacing w:after="100" w:before="200"/>
      </w:pPr>
      <w:r>
        <w:rPr>
          <w:rFonts w:ascii="Jost" w:cs="Jost" w:eastAsia="Jost" w:hAnsi="Jost"/>
          <w:b/>
          <w:bCs/>
          <w:color w:val="0F9E8E"/>
          <w:sz w:val="22"/>
          <w:szCs w:val="22"/>
        </w:rPr>
        <w:t xml:space="preserve">2.1  Applies To</w:t>
      </w:r>
    </w:p>
    <w:p>
      <w:pPr>
        <w:pStyle w:val="ListParagraph"/>
        <w:numPr>
          <w:ilvl w:val="0"/>
          <w:numId w:val="2"/>
        </w:numPr>
        <w:spacing w:after="80"/>
      </w:pPr>
      <w:r>
        <w:rPr>
          <w:rFonts w:ascii="Jost" w:cs="Jost" w:eastAsia="Jost" w:hAnsi="Jost"/>
          <w:color w:val="1B2233"/>
          <w:sz w:val="21"/>
          <w:szCs w:val="21"/>
        </w:rPr>
        <w:t xml:space="preserve">All Aurelyn AI Clinical employees, contractors, and platform administrators.</w:t>
      </w:r>
    </w:p>
    <w:p>
      <w:pPr>
        <w:pStyle w:val="ListParagraph"/>
        <w:numPr>
          <w:ilvl w:val="0"/>
          <w:numId w:val="2"/>
        </w:numPr>
        <w:spacing w:after="80"/>
      </w:pPr>
      <w:r>
        <w:rPr>
          <w:rFonts w:ascii="Jost" w:cs="Jost" w:eastAsia="Jost" w:hAnsi="Jost"/>
          <w:color w:val="1B2233"/>
          <w:sz w:val="21"/>
          <w:szCs w:val="21"/>
        </w:rPr>
        <w:t xml:space="preserve">Sponsor clients and their designated Clinical Project Managers using Aurelyn Trial | OS™.</w:t>
      </w:r>
    </w:p>
    <w:p>
      <w:pPr>
        <w:pStyle w:val="ListParagraph"/>
        <w:numPr>
          <w:ilvl w:val="0"/>
          <w:numId w:val="2"/>
        </w:numPr>
        <w:spacing w:after="80"/>
      </w:pPr>
      <w:r>
        <w:rPr>
          <w:rFonts w:ascii="Jost" w:cs="Jost" w:eastAsia="Jost" w:hAnsi="Jost"/>
          <w:color w:val="1B2233"/>
          <w:sz w:val="21"/>
          <w:szCs w:val="21"/>
        </w:rPr>
        <w:t xml:space="preserve">Contracted CROs, central/local laboratories, IRT/RTSM providers, eTMF and safety-database vendors acting as data processors or sub-processors.</w:t>
      </w:r>
    </w:p>
    <w:p>
      <w:pPr>
        <w:pStyle w:val="ListParagraph"/>
        <w:numPr>
          <w:ilvl w:val="0"/>
          <w:numId w:val="2"/>
        </w:numPr>
        <w:spacing w:after="80"/>
      </w:pPr>
      <w:r>
        <w:rPr>
          <w:rFonts w:ascii="Jost" w:cs="Jost" w:eastAsia="Jost" w:hAnsi="Jost"/>
          <w:color w:val="1B2233"/>
          <w:sz w:val="21"/>
          <w:szCs w:val="21"/>
        </w:rPr>
        <w:t xml:space="preserve">Investigator sites, Principal Investigators, and site personnel entering or accessing trial participant data.</w:t>
      </w:r>
    </w:p>
    <w:p>
      <w:pPr>
        <w:pStyle w:val="ListParagraph"/>
        <w:numPr>
          <w:ilvl w:val="0"/>
          <w:numId w:val="2"/>
        </w:numPr>
        <w:spacing w:after="80"/>
      </w:pPr>
      <w:r>
        <w:rPr>
          <w:rFonts w:ascii="Jost" w:cs="Jost" w:eastAsia="Jost" w:hAnsi="Jost"/>
          <w:color w:val="1B2233"/>
          <w:sz w:val="21"/>
          <w:szCs w:val="21"/>
        </w:rPr>
        <w:t xml:space="preserve">All trial phases (I–IV), interventional and observational designs, and Investigator-Initiated Studies conducted in whole or in part in the EU/EEA, or otherwise processing personal data of EU/EEA data subjects.</w:t>
      </w:r>
    </w:p>
    <w:p>
      <w:pPr>
        <w:pStyle w:val="Heading3"/>
        <w:spacing w:after="100" w:before="200"/>
      </w:pPr>
      <w:r>
        <w:rPr>
          <w:rFonts w:ascii="Jost" w:cs="Jost" w:eastAsia="Jost" w:hAnsi="Jost"/>
          <w:b/>
          <w:bCs/>
          <w:color w:val="0F9E8E"/>
          <w:sz w:val="22"/>
          <w:szCs w:val="22"/>
        </w:rPr>
        <w:t xml:space="preserve">2.2  Data In Scope</w:t>
      </w:r>
    </w:p>
    <w:p>
      <w:pPr>
        <w:pStyle w:val="ListParagraph"/>
        <w:numPr>
          <w:ilvl w:val="0"/>
          <w:numId w:val="2"/>
        </w:numPr>
        <w:spacing w:after="80"/>
      </w:pPr>
      <w:r>
        <w:rPr>
          <w:rFonts w:ascii="Jost" w:cs="Jost" w:eastAsia="Jost" w:hAnsi="Jost"/>
          <w:color w:val="1B2233"/>
          <w:sz w:val="21"/>
          <w:szCs w:val="21"/>
        </w:rPr>
        <w:t xml:space="preserve">Direct and indirect identifiers (name, initials, date of birth, contact details, national ID, randomization-linked codes where re-identification is possible).</w:t>
      </w:r>
    </w:p>
    <w:p>
      <w:pPr>
        <w:pStyle w:val="ListParagraph"/>
        <w:numPr>
          <w:ilvl w:val="0"/>
          <w:numId w:val="2"/>
        </w:numPr>
        <w:spacing w:after="80"/>
      </w:pPr>
      <w:r>
        <w:rPr>
          <w:rFonts w:ascii="Jost" w:cs="Jost" w:eastAsia="Jost" w:hAnsi="Jost"/>
          <w:color w:val="1B2233"/>
          <w:sz w:val="21"/>
          <w:szCs w:val="21"/>
        </w:rPr>
        <w:t xml:space="preserve">Special category data under Art. 9 GDPR: health data, genetic data, biometric data, and — where collected — data revealing racial/ethnic origin.</w:t>
      </w:r>
    </w:p>
    <w:p>
      <w:pPr>
        <w:pStyle w:val="ListParagraph"/>
        <w:numPr>
          <w:ilvl w:val="0"/>
          <w:numId w:val="2"/>
        </w:numPr>
        <w:spacing w:after="80"/>
      </w:pPr>
      <w:r>
        <w:rPr>
          <w:rFonts w:ascii="Jost" w:cs="Jost" w:eastAsia="Jost" w:hAnsi="Jost"/>
          <w:color w:val="1B2233"/>
          <w:sz w:val="21"/>
          <w:szCs w:val="21"/>
        </w:rPr>
        <w:t xml:space="preserve">Source documents, eCRF data, informed consent records, AE/SAE/SUSAR reports, biological-sample-linked data, images, and eTMF artifacts containing personal data of participants, investigators, or monitors.</w:t>
      </w:r>
    </w:p>
    <w:p>
      <w:pPr>
        <w:pStyle w:val="Heading3"/>
        <w:spacing w:after="100" w:before="200"/>
      </w:pPr>
      <w:r>
        <w:rPr>
          <w:rFonts w:ascii="Jost" w:cs="Jost" w:eastAsia="Jost" w:hAnsi="Jost"/>
          <w:b/>
          <w:bCs/>
          <w:color w:val="0F9E8E"/>
          <w:sz w:val="22"/>
          <w:szCs w:val="22"/>
        </w:rPr>
        <w:t xml:space="preserve">2.3  Out of Scope</w:t>
      </w:r>
    </w:p>
    <w:p>
      <w:pPr>
        <w:spacing w:after="140"/>
      </w:pPr>
      <w:r>
        <w:rPr>
          <w:rFonts w:ascii="Jost" w:cs="Jost" w:eastAsia="Jost" w:hAnsi="Jost"/>
          <w:color w:val="1B2233"/>
          <w:sz w:val="21"/>
          <w:szCs w:val="21"/>
        </w:rPr>
        <w:t xml:space="preserve">Fully anonymized, irreversibly de-identified aggregate data that can no longer be attributed to an identifiable natural person (Recital 26 GDPR) falls outside the scope of this SOP once anonymization is validated and documented.</w:t>
      </w:r>
    </w:p>
    <w:p>
      <w:pPr>
        <w:pStyle w:val="Heading1"/>
        <w:pBdr>
          <w:bottom w:val="single" w:color="0F9E8E" w:sz="8" w:space="6"/>
        </w:pBdr>
        <w:spacing w:after="200" w:before="400"/>
      </w:pPr>
      <w:r>
        <w:rPr>
          <w:rFonts w:ascii="Jost" w:cs="Jost" w:eastAsia="Jost" w:hAnsi="Jost"/>
          <w:b/>
          <w:bCs/>
          <w:color w:val="0F9E8E"/>
        </w:rPr>
        <w:t xml:space="preserve">3.  </w:t>
      </w:r>
      <w:r>
        <w:rPr>
          <w:rFonts w:ascii="Cormorant Garamond" w:cs="Cormorant Garamond" w:eastAsia="Cormorant Garamond" w:hAnsi="Cormorant Garamond"/>
          <w:b/>
          <w:bCs/>
          <w:color w:val="0A0E1C"/>
          <w:sz w:val="34"/>
          <w:szCs w:val="34"/>
        </w:rPr>
        <w:t xml:space="preserve">Responsibilities</w:t>
      </w:r>
    </w:p>
    <w:p>
      <w:pPr>
        <w:spacing w:after="140"/>
      </w:pPr>
      <w:r>
        <w:rPr>
          <w:rFonts w:ascii="Jost" w:cs="Jost" w:eastAsia="Jost" w:hAnsi="Jost"/>
          <w:color w:val="1B2233"/>
          <w:sz w:val="21"/>
          <w:szCs w:val="21"/>
        </w:rPr>
        <w:t xml:space="preserve">A summary overview is provided below; the full RACI matrix by activity is provided in Appendix A.</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3200"/>
        <w:gridCol w:w="6150"/>
      </w:tblGrid>
      <w:tr>
        <w:trPr>
          <w:tblHeader/>
        </w:trPr>
        <w:tc>
          <w:tcPr>
            <w:tcW w:type="dxa" w:w="32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Role</w:t>
            </w:r>
          </w:p>
        </w:tc>
        <w:tc>
          <w:tcPr>
            <w:tcW w:type="dxa" w:w="61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Primary Accountability</w:t>
            </w:r>
          </w:p>
        </w:tc>
      </w:tr>
      <w:tr>
        <w:tc>
          <w:tcPr>
            <w:tcW w:type="dxa" w:w="3200"/>
            <w:tcMar>
              <w:top w:type="dxa" w:w="90"/>
              <w:left w:type="dxa" w:w="110"/>
              <w:bottom w:type="dxa" w:w="90"/>
              <w:right w:type="dxa" w:w="110"/>
            </w:tcMar>
            <w:vAlign w:val="top"/>
          </w:tcPr>
          <w:p>
            <w:r>
              <w:rPr>
                <w:rFonts w:ascii="Jost" w:cs="Jost" w:eastAsia="Jost" w:hAnsi="Jost"/>
                <w:color w:val="1B2233"/>
                <w:sz w:val="21"/>
                <w:szCs w:val="21"/>
              </w:rPr>
              <w:t xml:space="preserve">CEO / Chief AI &amp; Innovation Officer</w:t>
            </w:r>
          </w:p>
        </w:tc>
        <w:tc>
          <w:tcPr>
            <w:tcW w:type="dxa" w:w="6150"/>
            <w:tcMar>
              <w:top w:type="dxa" w:w="90"/>
              <w:left w:type="dxa" w:w="110"/>
              <w:bottom w:type="dxa" w:w="90"/>
              <w:right w:type="dxa" w:w="110"/>
            </w:tcMar>
            <w:vAlign w:val="top"/>
          </w:tcPr>
          <w:p>
            <w:r>
              <w:rPr>
                <w:rFonts w:ascii="Jost" w:cs="Jost" w:eastAsia="Jost" w:hAnsi="Jost"/>
                <w:color w:val="1B2233"/>
                <w:sz w:val="21"/>
                <w:szCs w:val="21"/>
              </w:rPr>
              <w:t xml:space="preserve">Ultimate accountability for the data protection governance framework and resourcing; approves this SOP.</w:t>
            </w:r>
          </w:p>
        </w:tc>
      </w:tr>
      <w:tr>
        <w:tc>
          <w:tcPr>
            <w:tcW w:type="dxa" w:w="3200"/>
            <w:shd w:fill="F3F5FA" w:val="clear"/>
            <w:tcMar>
              <w:top w:type="dxa" w:w="90"/>
              <w:left w:type="dxa" w:w="110"/>
              <w:bottom w:type="dxa" w:w="90"/>
              <w:right w:type="dxa" w:w="110"/>
            </w:tcMar>
            <w:vAlign w:val="top"/>
          </w:tcPr>
          <w:p>
            <w:r>
              <w:rPr>
                <w:rFonts w:ascii="Jost" w:cs="Jost" w:eastAsia="Jost" w:hAnsi="Jost"/>
                <w:color w:val="1B2233"/>
                <w:sz w:val="21"/>
                <w:szCs w:val="21"/>
              </w:rPr>
              <w:t xml:space="preserve">Data Protection Lead (DPO function)</w:t>
            </w:r>
          </w:p>
        </w:tc>
        <w:tc>
          <w:tcPr>
            <w:tcW w:type="dxa" w:w="6150"/>
            <w:shd w:fill="F3F5FA" w:val="clear"/>
            <w:tcMar>
              <w:top w:type="dxa" w:w="90"/>
              <w:left w:type="dxa" w:w="110"/>
              <w:bottom w:type="dxa" w:w="90"/>
              <w:right w:type="dxa" w:w="110"/>
            </w:tcMar>
            <w:vAlign w:val="top"/>
          </w:tcPr>
          <w:p>
            <w:r>
              <w:rPr>
                <w:rFonts w:ascii="Jost" w:cs="Jost" w:eastAsia="Jost" w:hAnsi="Jost"/>
                <w:color w:val="1B2233"/>
                <w:sz w:val="21"/>
                <w:szCs w:val="21"/>
              </w:rPr>
              <w:t xml:space="preserve">Day-to-day GDPR compliance oversight, DPIA review, breach coordination, supervisory authority liaison, and advice on Art. 6/9 legal basis.</w:t>
            </w:r>
          </w:p>
        </w:tc>
      </w:tr>
      <w:tr>
        <w:tc>
          <w:tcPr>
            <w:tcW w:type="dxa" w:w="3200"/>
            <w:tcMar>
              <w:top w:type="dxa" w:w="90"/>
              <w:left w:type="dxa" w:w="110"/>
              <w:bottom w:type="dxa" w:w="90"/>
              <w:right w:type="dxa" w:w="110"/>
            </w:tcMar>
            <w:vAlign w:val="top"/>
          </w:tcPr>
          <w:p>
            <w:r>
              <w:rPr>
                <w:rFonts w:ascii="Jost" w:cs="Jost" w:eastAsia="Jost" w:hAnsi="Jost"/>
                <w:color w:val="1B2233"/>
                <w:sz w:val="21"/>
                <w:szCs w:val="21"/>
              </w:rPr>
              <w:t xml:space="preserve">Clinical Project Manager</w:t>
            </w:r>
          </w:p>
        </w:tc>
        <w:tc>
          <w:tcPr>
            <w:tcW w:type="dxa" w:w="6150"/>
            <w:tcMar>
              <w:top w:type="dxa" w:w="90"/>
              <w:left w:type="dxa" w:w="110"/>
              <w:bottom w:type="dxa" w:w="90"/>
              <w:right w:type="dxa" w:w="110"/>
            </w:tcMar>
            <w:vAlign w:val="top"/>
          </w:tcPr>
          <w:p>
            <w:r>
              <w:rPr>
                <w:rFonts w:ascii="Jost" w:cs="Jost" w:eastAsia="Jost" w:hAnsi="Jost"/>
                <w:color w:val="1B2233"/>
                <w:sz w:val="21"/>
                <w:szCs w:val="21"/>
              </w:rPr>
              <w:t xml:space="preserve">Embeds GDPR requirements into protocol, monitoring plan, and vendor selection; maintains study-level ROPA entry.</w:t>
            </w:r>
          </w:p>
        </w:tc>
      </w:tr>
      <w:tr>
        <w:tc>
          <w:tcPr>
            <w:tcW w:type="dxa" w:w="3200"/>
            <w:shd w:fill="F3F5FA" w:val="clear"/>
            <w:tcMar>
              <w:top w:type="dxa" w:w="90"/>
              <w:left w:type="dxa" w:w="110"/>
              <w:bottom w:type="dxa" w:w="90"/>
              <w:right w:type="dxa" w:w="110"/>
            </w:tcMar>
            <w:vAlign w:val="top"/>
          </w:tcPr>
          <w:p>
            <w:r>
              <w:rPr>
                <w:rFonts w:ascii="Jost" w:cs="Jost" w:eastAsia="Jost" w:hAnsi="Jost"/>
                <w:color w:val="1B2233"/>
                <w:sz w:val="21"/>
                <w:szCs w:val="21"/>
              </w:rPr>
              <w:t xml:space="preserve">Principal Investigator / Site Staff</w:t>
            </w:r>
          </w:p>
        </w:tc>
        <w:tc>
          <w:tcPr>
            <w:tcW w:type="dxa" w:w="6150"/>
            <w:shd w:fill="F3F5FA" w:val="clear"/>
            <w:tcMar>
              <w:top w:type="dxa" w:w="90"/>
              <w:left w:type="dxa" w:w="110"/>
              <w:bottom w:type="dxa" w:w="90"/>
              <w:right w:type="dxa" w:w="110"/>
            </w:tcMar>
            <w:vAlign w:val="top"/>
          </w:tcPr>
          <w:p>
            <w:r>
              <w:rPr>
                <w:rFonts w:ascii="Jost" w:cs="Jost" w:eastAsia="Jost" w:hAnsi="Jost"/>
                <w:color w:val="1B2233"/>
                <w:sz w:val="21"/>
                <w:szCs w:val="21"/>
              </w:rPr>
              <w:t xml:space="preserve">Obtains and documents informed consent, safeguards source data, restricts access, reports suspected breaches within 24 hours.</w:t>
            </w:r>
          </w:p>
        </w:tc>
      </w:tr>
      <w:tr>
        <w:tc>
          <w:tcPr>
            <w:tcW w:type="dxa" w:w="3200"/>
            <w:tcMar>
              <w:top w:type="dxa" w:w="90"/>
              <w:left w:type="dxa" w:w="110"/>
              <w:bottom w:type="dxa" w:w="90"/>
              <w:right w:type="dxa" w:w="110"/>
            </w:tcMar>
            <w:vAlign w:val="top"/>
          </w:tcPr>
          <w:p>
            <w:r>
              <w:rPr>
                <w:rFonts w:ascii="Jost" w:cs="Jost" w:eastAsia="Jost" w:hAnsi="Jost"/>
                <w:color w:val="1B2233"/>
                <w:sz w:val="21"/>
                <w:szCs w:val="21"/>
              </w:rPr>
              <w:t xml:space="preserve">CRO / Vendor (Data Processor)</w:t>
            </w:r>
          </w:p>
        </w:tc>
        <w:tc>
          <w:tcPr>
            <w:tcW w:type="dxa" w:w="6150"/>
            <w:tcMar>
              <w:top w:type="dxa" w:w="90"/>
              <w:left w:type="dxa" w:w="110"/>
              <w:bottom w:type="dxa" w:w="90"/>
              <w:right w:type="dxa" w:w="110"/>
            </w:tcMar>
            <w:vAlign w:val="top"/>
          </w:tcPr>
          <w:p>
            <w:r>
              <w:rPr>
                <w:rFonts w:ascii="Jost" w:cs="Jost" w:eastAsia="Jost" w:hAnsi="Jost"/>
                <w:color w:val="1B2233"/>
                <w:sz w:val="21"/>
                <w:szCs w:val="21"/>
              </w:rPr>
              <w:t xml:space="preserve">Processes data only per written instructions and Data Processing Agreement (Art. 28); implements technical/organizational measures.</w:t>
            </w:r>
          </w:p>
        </w:tc>
      </w:tr>
      <w:tr>
        <w:tc>
          <w:tcPr>
            <w:tcW w:type="dxa" w:w="3200"/>
            <w:shd w:fill="F3F5FA" w:val="clear"/>
            <w:tcMar>
              <w:top w:type="dxa" w:w="90"/>
              <w:left w:type="dxa" w:w="110"/>
              <w:bottom w:type="dxa" w:w="90"/>
              <w:right w:type="dxa" w:w="110"/>
            </w:tcMar>
            <w:vAlign w:val="top"/>
          </w:tcPr>
          <w:p>
            <w:r>
              <w:rPr>
                <w:rFonts w:ascii="Jost" w:cs="Jost" w:eastAsia="Jost" w:hAnsi="Jost"/>
                <w:color w:val="1B2233"/>
                <w:sz w:val="21"/>
                <w:szCs w:val="21"/>
              </w:rPr>
              <w:t xml:space="preserve">Aurelyn Trial | OS™ Engineering &amp; Security</w:t>
            </w:r>
          </w:p>
        </w:tc>
        <w:tc>
          <w:tcPr>
            <w:tcW w:type="dxa" w:w="6150"/>
            <w:shd w:fill="F3F5FA" w:val="clear"/>
            <w:tcMar>
              <w:top w:type="dxa" w:w="90"/>
              <w:left w:type="dxa" w:w="110"/>
              <w:bottom w:type="dxa" w:w="90"/>
              <w:right w:type="dxa" w:w="110"/>
            </w:tcMar>
            <w:vAlign w:val="top"/>
          </w:tcPr>
          <w:p>
            <w:r>
              <w:rPr>
                <w:rFonts w:ascii="Jost" w:cs="Jost" w:eastAsia="Jost" w:hAnsi="Jost"/>
                <w:color w:val="1B2233"/>
                <w:sz w:val="21"/>
                <w:szCs w:val="21"/>
              </w:rPr>
              <w:t xml:space="preserve">Implements privacy-by-design controls, encryption, access management, audit logging, and AI governance controls.</w:t>
            </w:r>
          </w:p>
        </w:tc>
      </w:tr>
      <w:tr>
        <w:tc>
          <w:tcPr>
            <w:tcW w:type="dxa" w:w="3200"/>
            <w:tcMar>
              <w:top w:type="dxa" w:w="90"/>
              <w:left w:type="dxa" w:w="110"/>
              <w:bottom w:type="dxa" w:w="90"/>
              <w:right w:type="dxa" w:w="110"/>
            </w:tcMar>
            <w:vAlign w:val="top"/>
          </w:tcPr>
          <w:p>
            <w:r>
              <w:rPr>
                <w:rFonts w:ascii="Jost" w:cs="Jost" w:eastAsia="Jost" w:hAnsi="Jost"/>
                <w:color w:val="1B2233"/>
                <w:sz w:val="21"/>
                <w:szCs w:val="21"/>
              </w:rPr>
              <w:t xml:space="preserve">QA / Compliance</w:t>
            </w:r>
          </w:p>
        </w:tc>
        <w:tc>
          <w:tcPr>
            <w:tcW w:type="dxa" w:w="6150"/>
            <w:tcMar>
              <w:top w:type="dxa" w:w="90"/>
              <w:left w:type="dxa" w:w="110"/>
              <w:bottom w:type="dxa" w:w="90"/>
              <w:right w:type="dxa" w:w="110"/>
            </w:tcMar>
            <w:vAlign w:val="top"/>
          </w:tcPr>
          <w:p>
            <w:r>
              <w:rPr>
                <w:rFonts w:ascii="Jost" w:cs="Jost" w:eastAsia="Jost" w:hAnsi="Jost"/>
                <w:color w:val="1B2233"/>
                <w:sz w:val="21"/>
                <w:szCs w:val="21"/>
              </w:rPr>
              <w:t xml:space="preserve">Audits adherence to this SOP, tracks CAPAs, maintains inspection readiness.</w:t>
            </w:r>
          </w:p>
        </w:tc>
      </w:tr>
      <w:tr>
        <w:tc>
          <w:tcPr>
            <w:tcW w:type="dxa" w:w="3200"/>
            <w:shd w:fill="F3F5FA" w:val="clear"/>
            <w:tcMar>
              <w:top w:type="dxa" w:w="90"/>
              <w:left w:type="dxa" w:w="110"/>
              <w:bottom w:type="dxa" w:w="90"/>
              <w:right w:type="dxa" w:w="110"/>
            </w:tcMar>
            <w:vAlign w:val="top"/>
          </w:tcPr>
          <w:p>
            <w:r>
              <w:rPr>
                <w:rFonts w:ascii="Jost" w:cs="Jost" w:eastAsia="Jost" w:hAnsi="Jost"/>
                <w:color w:val="1B2233"/>
                <w:sz w:val="21"/>
                <w:szCs w:val="21"/>
              </w:rPr>
              <w:t xml:space="preserve">Regulatory Affairs</w:t>
            </w:r>
          </w:p>
        </w:tc>
        <w:tc>
          <w:tcPr>
            <w:tcW w:type="dxa" w:w="61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Coordinates GDPR-consistent content for CTIS submissions, ICH M11 protocol sections, and cross-border safety reporting.</w:t>
            </w:r>
          </w:p>
        </w:tc>
      </w:tr>
    </w:tbl>
    <w:p>
      <w:pPr>
        <w:pStyle w:val="Heading1"/>
        <w:pBdr>
          <w:bottom w:val="single" w:color="0F9E8E" w:sz="8" w:space="6"/>
        </w:pBdr>
        <w:spacing w:after="200" w:before="400"/>
      </w:pPr>
      <w:r>
        <w:rPr>
          <w:rFonts w:ascii="Jost" w:cs="Jost" w:eastAsia="Jost" w:hAnsi="Jost"/>
          <w:b/>
          <w:bCs/>
          <w:color w:val="0F9E8E"/>
        </w:rPr>
        <w:t xml:space="preserve">4.  </w:t>
      </w:r>
      <w:r>
        <w:rPr>
          <w:rFonts w:ascii="Cormorant Garamond" w:cs="Cormorant Garamond" w:eastAsia="Cormorant Garamond" w:hAnsi="Cormorant Garamond"/>
          <w:b/>
          <w:bCs/>
          <w:color w:val="0A0E1C"/>
          <w:sz w:val="34"/>
          <w:szCs w:val="34"/>
        </w:rPr>
        <w:t xml:space="preserve">Definitions &amp; Abbreviations</w:t>
      </w:r>
    </w:p>
    <w:p>
      <w:pPr>
        <w:pStyle w:val="Heading3"/>
        <w:spacing w:after="100" w:before="200"/>
      </w:pPr>
      <w:r>
        <w:rPr>
          <w:rFonts w:ascii="Jost" w:cs="Jost" w:eastAsia="Jost" w:hAnsi="Jost"/>
          <w:b/>
          <w:bCs/>
          <w:color w:val="0F9E8E"/>
          <w:sz w:val="22"/>
          <w:szCs w:val="22"/>
        </w:rPr>
        <w:t xml:space="preserve">4.1  Key Definitions</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2600"/>
        <w:gridCol w:w="6750"/>
      </w:tblGrid>
      <w:tr>
        <w:trPr>
          <w:tblHeader/>
        </w:trPr>
        <w:tc>
          <w:tcPr>
            <w:tcW w:type="dxa" w:w="26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Term</w:t>
            </w:r>
          </w:p>
        </w:tc>
        <w:tc>
          <w:tcPr>
            <w:tcW w:type="dxa" w:w="67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Definition</w:t>
            </w:r>
          </w:p>
        </w:tc>
      </w:tr>
      <w:tr>
        <w:tc>
          <w:tcPr>
            <w:tcW w:type="dxa" w:w="2600"/>
            <w:tcMar>
              <w:top w:type="dxa" w:w="90"/>
              <w:left w:type="dxa" w:w="110"/>
              <w:bottom w:type="dxa" w:w="90"/>
              <w:right w:type="dxa" w:w="110"/>
            </w:tcMar>
            <w:vAlign w:val="top"/>
          </w:tcPr>
          <w:p>
            <w:r>
              <w:rPr>
                <w:rFonts w:ascii="Jost" w:cs="Jost" w:eastAsia="Jost" w:hAnsi="Jost"/>
                <w:color w:val="1B2233"/>
                <w:sz w:val="21"/>
                <w:szCs w:val="21"/>
              </w:rPr>
              <w:t xml:space="preserve">Personal Data</w:t>
            </w:r>
          </w:p>
        </w:tc>
        <w:tc>
          <w:tcPr>
            <w:tcW w:type="dxa" w:w="6750"/>
            <w:tcMar>
              <w:top w:type="dxa" w:w="90"/>
              <w:left w:type="dxa" w:w="110"/>
              <w:bottom w:type="dxa" w:w="90"/>
              <w:right w:type="dxa" w:w="110"/>
            </w:tcMar>
            <w:vAlign w:val="top"/>
          </w:tcPr>
          <w:p>
            <w:r>
              <w:rPr>
                <w:rFonts w:ascii="Jost" w:cs="Jost" w:eastAsia="Jost" w:hAnsi="Jost"/>
                <w:color w:val="1B2233"/>
                <w:sz w:val="21"/>
                <w:szCs w:val="21"/>
              </w:rPr>
              <w:t xml:space="preserve">Any information relating to an identified or identifiable natural person (“data subject”); includes pseudonymized data capable of re-identification (Art. 4(1)).</w:t>
            </w:r>
          </w:p>
        </w:tc>
      </w:tr>
      <w:tr>
        <w:tc>
          <w:tcPr>
            <w:tcW w:type="dxa" w:w="2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Special Category Data</w:t>
            </w:r>
          </w:p>
        </w:tc>
        <w:tc>
          <w:tcPr>
            <w:tcW w:type="dxa" w:w="6750"/>
            <w:shd w:fill="F3F5FA" w:val="clear"/>
            <w:tcMar>
              <w:top w:type="dxa" w:w="90"/>
              <w:left w:type="dxa" w:w="110"/>
              <w:bottom w:type="dxa" w:w="90"/>
              <w:right w:type="dxa" w:w="110"/>
            </w:tcMar>
            <w:vAlign w:val="top"/>
          </w:tcPr>
          <w:p>
            <w:r>
              <w:rPr>
                <w:rFonts w:ascii="Jost" w:cs="Jost" w:eastAsia="Jost" w:hAnsi="Jost"/>
                <w:color w:val="1B2233"/>
                <w:sz w:val="21"/>
                <w:szCs w:val="21"/>
              </w:rPr>
              <w:t xml:space="preserve">Health, genetic, biometric, and related sensitive data subject to heightened protection under Art. 9; nearly all clinical trial data falls into this category.</w:t>
            </w:r>
          </w:p>
        </w:tc>
      </w:tr>
      <w:tr>
        <w:tc>
          <w:tcPr>
            <w:tcW w:type="dxa" w:w="2600"/>
            <w:tcMar>
              <w:top w:type="dxa" w:w="90"/>
              <w:left w:type="dxa" w:w="110"/>
              <w:bottom w:type="dxa" w:w="90"/>
              <w:right w:type="dxa" w:w="110"/>
            </w:tcMar>
            <w:vAlign w:val="top"/>
          </w:tcPr>
          <w:p>
            <w:r>
              <w:rPr>
                <w:rFonts w:ascii="Jost" w:cs="Jost" w:eastAsia="Jost" w:hAnsi="Jost"/>
                <w:color w:val="1B2233"/>
                <w:sz w:val="21"/>
                <w:szCs w:val="21"/>
              </w:rPr>
              <w:t xml:space="preserve">Data Controller</w:t>
            </w:r>
          </w:p>
        </w:tc>
        <w:tc>
          <w:tcPr>
            <w:tcW w:type="dxa" w:w="6750"/>
            <w:tcMar>
              <w:top w:type="dxa" w:w="90"/>
              <w:left w:type="dxa" w:w="110"/>
              <w:bottom w:type="dxa" w:w="90"/>
              <w:right w:type="dxa" w:w="110"/>
            </w:tcMar>
            <w:vAlign w:val="top"/>
          </w:tcPr>
          <w:p>
            <w:r>
              <w:rPr>
                <w:rFonts w:ascii="Jost" w:cs="Jost" w:eastAsia="Jost" w:hAnsi="Jost"/>
                <w:color w:val="1B2233"/>
                <w:sz w:val="21"/>
                <w:szCs w:val="21"/>
              </w:rPr>
              <w:t xml:space="preserve">The entity determining the purposes and means of processing — typically the trial Sponsor (Art. 4(7)).</w:t>
            </w:r>
          </w:p>
        </w:tc>
      </w:tr>
      <w:tr>
        <w:tc>
          <w:tcPr>
            <w:tcW w:type="dxa" w:w="2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Data Processor</w:t>
            </w:r>
          </w:p>
        </w:tc>
        <w:tc>
          <w:tcPr>
            <w:tcW w:type="dxa" w:w="6750"/>
            <w:shd w:fill="F3F5FA" w:val="clear"/>
            <w:tcMar>
              <w:top w:type="dxa" w:w="90"/>
              <w:left w:type="dxa" w:w="110"/>
              <w:bottom w:type="dxa" w:w="90"/>
              <w:right w:type="dxa" w:w="110"/>
            </w:tcMar>
            <w:vAlign w:val="top"/>
          </w:tcPr>
          <w:p>
            <w:r>
              <w:rPr>
                <w:rFonts w:ascii="Jost" w:cs="Jost" w:eastAsia="Jost" w:hAnsi="Jost"/>
                <w:color w:val="1B2233"/>
                <w:sz w:val="21"/>
                <w:szCs w:val="21"/>
              </w:rPr>
              <w:t xml:space="preserve">An entity processing data on the Controller's behalf and instructions — e.g., a CRO, eTMF vendor, or the Aurelyn Trial | OS™ platform (Art. 4(8)).</w:t>
            </w:r>
          </w:p>
        </w:tc>
      </w:tr>
      <w:tr>
        <w:tc>
          <w:tcPr>
            <w:tcW w:type="dxa" w:w="2600"/>
            <w:tcMar>
              <w:top w:type="dxa" w:w="90"/>
              <w:left w:type="dxa" w:w="110"/>
              <w:bottom w:type="dxa" w:w="90"/>
              <w:right w:type="dxa" w:w="110"/>
            </w:tcMar>
            <w:vAlign w:val="top"/>
          </w:tcPr>
          <w:p>
            <w:r>
              <w:rPr>
                <w:rFonts w:ascii="Jost" w:cs="Jost" w:eastAsia="Jost" w:hAnsi="Jost"/>
                <w:color w:val="1B2233"/>
                <w:sz w:val="21"/>
                <w:szCs w:val="21"/>
              </w:rPr>
              <w:t xml:space="preserve">Pseudonymization</w:t>
            </w:r>
          </w:p>
        </w:tc>
        <w:tc>
          <w:tcPr>
            <w:tcW w:type="dxa" w:w="6750"/>
            <w:tcMar>
              <w:top w:type="dxa" w:w="90"/>
              <w:left w:type="dxa" w:w="110"/>
              <w:bottom w:type="dxa" w:w="90"/>
              <w:right w:type="dxa" w:w="110"/>
            </w:tcMar>
            <w:vAlign w:val="top"/>
          </w:tcPr>
          <w:p>
            <w:r>
              <w:rPr>
                <w:rFonts w:ascii="Jost" w:cs="Jost" w:eastAsia="Jost" w:hAnsi="Jost"/>
                <w:color w:val="1B2233"/>
                <w:sz w:val="21"/>
                <w:szCs w:val="21"/>
              </w:rPr>
              <w:t xml:space="preserve">Processing personal data so it can no longer be attributed to a specific subject without additional, separately held information (Art. 4(5)).</w:t>
            </w:r>
          </w:p>
        </w:tc>
      </w:tr>
      <w:tr>
        <w:tc>
          <w:tcPr>
            <w:tcW w:type="dxa" w:w="2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DPIA</w:t>
            </w:r>
          </w:p>
        </w:tc>
        <w:tc>
          <w:tcPr>
            <w:tcW w:type="dxa" w:w="6750"/>
            <w:shd w:fill="F3F5FA" w:val="clear"/>
            <w:tcMar>
              <w:top w:type="dxa" w:w="90"/>
              <w:left w:type="dxa" w:w="110"/>
              <w:bottom w:type="dxa" w:w="90"/>
              <w:right w:type="dxa" w:w="110"/>
            </w:tcMar>
            <w:vAlign w:val="top"/>
          </w:tcPr>
          <w:p>
            <w:r>
              <w:rPr>
                <w:rFonts w:ascii="Jost" w:cs="Jost" w:eastAsia="Jost" w:hAnsi="Jost"/>
                <w:color w:val="1B2233"/>
                <w:sz w:val="21"/>
                <w:szCs w:val="21"/>
              </w:rPr>
              <w:t xml:space="preserve">Data Protection Impact Assessment — a structured risk assessment required for high-risk processing (Art. 35).</w:t>
            </w:r>
          </w:p>
        </w:tc>
      </w:tr>
      <w:tr>
        <w:tc>
          <w:tcPr>
            <w:tcW w:type="dxa" w:w="2600"/>
            <w:tcMar>
              <w:top w:type="dxa" w:w="90"/>
              <w:left w:type="dxa" w:w="110"/>
              <w:bottom w:type="dxa" w:w="90"/>
              <w:right w:type="dxa" w:w="110"/>
            </w:tcMar>
            <w:vAlign w:val="top"/>
          </w:tcPr>
          <w:p>
            <w:r>
              <w:rPr>
                <w:rFonts w:ascii="Jost" w:cs="Jost" w:eastAsia="Jost" w:hAnsi="Jost"/>
                <w:color w:val="1B2233"/>
                <w:sz w:val="21"/>
                <w:szCs w:val="21"/>
              </w:rPr>
              <w:t xml:space="preserve">SCCs</w:t>
            </w:r>
          </w:p>
        </w:tc>
        <w:tc>
          <w:tcPr>
            <w:tcW w:type="dxa" w:w="6750"/>
            <w:tcMar>
              <w:top w:type="dxa" w:w="90"/>
              <w:left w:type="dxa" w:w="110"/>
              <w:bottom w:type="dxa" w:w="90"/>
              <w:right w:type="dxa" w:w="110"/>
            </w:tcMar>
            <w:vAlign w:val="top"/>
          </w:tcPr>
          <w:p>
            <w:r>
              <w:rPr>
                <w:rFonts w:ascii="Jost" w:cs="Jost" w:eastAsia="Jost" w:hAnsi="Jost"/>
                <w:color w:val="1B2233"/>
                <w:sz w:val="21"/>
                <w:szCs w:val="21"/>
              </w:rPr>
              <w:t xml:space="preserve">Standard Contractual Clauses — the European Commission's approved transfer mechanism (2021 modular version).</w:t>
            </w:r>
          </w:p>
        </w:tc>
      </w:tr>
      <w:tr>
        <w:tc>
          <w:tcPr>
            <w:tcW w:type="dxa" w:w="2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Supervisory Authority</w:t>
            </w:r>
          </w:p>
        </w:tc>
        <w:tc>
          <w:tcPr>
            <w:tcW w:type="dxa" w:w="6750"/>
            <w:shd w:fill="F3F5FA" w:val="clear"/>
            <w:tcMar>
              <w:top w:type="dxa" w:w="90"/>
              <w:left w:type="dxa" w:w="110"/>
              <w:bottom w:type="dxa" w:w="90"/>
              <w:right w:type="dxa" w:w="110"/>
            </w:tcMar>
            <w:vAlign w:val="top"/>
          </w:tcPr>
          <w:p>
            <w:r>
              <w:rPr>
                <w:rFonts w:ascii="Jost" w:cs="Jost" w:eastAsia="Jost" w:hAnsi="Jost"/>
                <w:color w:val="1B2233"/>
                <w:sz w:val="21"/>
                <w:szCs w:val="21"/>
              </w:rPr>
              <w:t xml:space="preserve">The national Data Protection Authority with jurisdiction over the controller/processor.</w:t>
            </w:r>
          </w:p>
        </w:tc>
      </w:tr>
    </w:tbl>
    <w:p>
      <w:pPr>
        <w:pStyle w:val="Heading3"/>
        <w:spacing w:after="100" w:before="200"/>
      </w:pPr>
      <w:r>
        <w:rPr>
          <w:rFonts w:ascii="Jost" w:cs="Jost" w:eastAsia="Jost" w:hAnsi="Jost"/>
          <w:b/>
          <w:bCs/>
          <w:color w:val="0F9E8E"/>
          <w:sz w:val="22"/>
          <w:szCs w:val="22"/>
        </w:rPr>
        <w:t xml:space="preserve">4.2  Abbreviations</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1600"/>
        <w:gridCol w:w="3050"/>
        <w:gridCol w:w="1600"/>
        <w:gridCol w:w="3100"/>
      </w:tblGrid>
      <w:tr>
        <w:trPr>
          <w:tblHeader/>
        </w:trPr>
        <w:tc>
          <w:tcPr>
            <w:tcW w:type="dxa" w:w="16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Abbrev.</w:t>
            </w:r>
          </w:p>
        </w:tc>
        <w:tc>
          <w:tcPr>
            <w:tcW w:type="dxa" w:w="30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Meaning</w:t>
            </w:r>
          </w:p>
        </w:tc>
        <w:tc>
          <w:tcPr>
            <w:tcW w:type="dxa" w:w="16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Abbrev.</w:t>
            </w:r>
          </w:p>
        </w:tc>
        <w:tc>
          <w:tcPr>
            <w:tcW w:type="dxa" w:w="31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Meaning</w:t>
            </w:r>
          </w:p>
        </w:tc>
      </w:tr>
      <w:tr>
        <w:tc>
          <w:tcPr>
            <w:tcW w:type="dxa" w:w="1600"/>
            <w:tcMar>
              <w:top w:type="dxa" w:w="90"/>
              <w:left w:type="dxa" w:w="110"/>
              <w:bottom w:type="dxa" w:w="90"/>
              <w:right w:type="dxa" w:w="110"/>
            </w:tcMar>
            <w:vAlign w:val="top"/>
          </w:tcPr>
          <w:p>
            <w:r>
              <w:rPr>
                <w:rFonts w:ascii="Jost" w:cs="Jost" w:eastAsia="Jost" w:hAnsi="Jost"/>
                <w:color w:val="1B2233"/>
                <w:sz w:val="21"/>
                <w:szCs w:val="21"/>
              </w:rPr>
              <w:t xml:space="preserve">GDPR</w:t>
            </w:r>
          </w:p>
        </w:tc>
        <w:tc>
          <w:tcPr>
            <w:tcW w:type="dxa" w:w="3050"/>
            <w:tcMar>
              <w:top w:type="dxa" w:w="90"/>
              <w:left w:type="dxa" w:w="110"/>
              <w:bottom w:type="dxa" w:w="90"/>
              <w:right w:type="dxa" w:w="110"/>
            </w:tcMar>
            <w:vAlign w:val="top"/>
          </w:tcPr>
          <w:p>
            <w:r>
              <w:rPr>
                <w:rFonts w:ascii="Jost" w:cs="Jost" w:eastAsia="Jost" w:hAnsi="Jost"/>
                <w:color w:val="1B2233"/>
                <w:sz w:val="21"/>
                <w:szCs w:val="21"/>
              </w:rPr>
              <w:t xml:space="preserve">General Data Protection Regulation (EU) 2016/679</w:t>
            </w:r>
          </w:p>
        </w:tc>
        <w:tc>
          <w:tcPr>
            <w:tcW w:type="dxa" w:w="1600"/>
            <w:tcMar>
              <w:top w:type="dxa" w:w="90"/>
              <w:left w:type="dxa" w:w="110"/>
              <w:bottom w:type="dxa" w:w="90"/>
              <w:right w:type="dxa" w:w="110"/>
            </w:tcMar>
            <w:vAlign w:val="top"/>
          </w:tcPr>
          <w:p>
            <w:r>
              <w:rPr>
                <w:rFonts w:ascii="Jost" w:cs="Jost" w:eastAsia="Jost" w:hAnsi="Jost"/>
                <w:color w:val="1B2233"/>
                <w:sz w:val="21"/>
                <w:szCs w:val="21"/>
              </w:rPr>
              <w:t xml:space="preserve">CTIS</w:t>
            </w:r>
          </w:p>
        </w:tc>
        <w:tc>
          <w:tcPr>
            <w:tcW w:type="dxa" w:w="3100"/>
            <w:tcMar>
              <w:top w:type="dxa" w:w="90"/>
              <w:left w:type="dxa" w:w="110"/>
              <w:bottom w:type="dxa" w:w="90"/>
              <w:right w:type="dxa" w:w="110"/>
            </w:tcMar>
            <w:vAlign w:val="top"/>
          </w:tcPr>
          <w:p>
            <w:r>
              <w:rPr>
                <w:rFonts w:ascii="Jost" w:cs="Jost" w:eastAsia="Jost" w:hAnsi="Jost"/>
                <w:color w:val="1B2233"/>
                <w:sz w:val="21"/>
                <w:szCs w:val="21"/>
              </w:rPr>
              <w:t xml:space="preserve">Clinical Trials Information System</w:t>
            </w:r>
          </w:p>
        </w:tc>
      </w:tr>
      <w:tr>
        <w:tc>
          <w:tcPr>
            <w:tcW w:type="dxa" w:w="1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DPO</w:t>
            </w:r>
          </w:p>
        </w:tc>
        <w:tc>
          <w:tcPr>
            <w:tcW w:type="dxa" w:w="3050"/>
            <w:shd w:fill="F3F5FA" w:val="clear"/>
            <w:tcMar>
              <w:top w:type="dxa" w:w="90"/>
              <w:left w:type="dxa" w:w="110"/>
              <w:bottom w:type="dxa" w:w="90"/>
              <w:right w:type="dxa" w:w="110"/>
            </w:tcMar>
            <w:vAlign w:val="top"/>
          </w:tcPr>
          <w:p>
            <w:r>
              <w:rPr>
                <w:rFonts w:ascii="Jost" w:cs="Jost" w:eastAsia="Jost" w:hAnsi="Jost"/>
                <w:color w:val="1B2233"/>
                <w:sz w:val="21"/>
                <w:szCs w:val="21"/>
              </w:rPr>
              <w:t xml:space="preserve">Data Protection Officer</w:t>
            </w:r>
          </w:p>
        </w:tc>
        <w:tc>
          <w:tcPr>
            <w:tcW w:type="dxa" w:w="1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TMF / eTMF</w:t>
            </w:r>
          </w:p>
        </w:tc>
        <w:tc>
          <w:tcPr>
            <w:tcW w:type="dxa" w:w="3100"/>
            <w:shd w:fill="F3F5FA" w:val="clear"/>
            <w:tcMar>
              <w:top w:type="dxa" w:w="90"/>
              <w:left w:type="dxa" w:w="110"/>
              <w:bottom w:type="dxa" w:w="90"/>
              <w:right w:type="dxa" w:w="110"/>
            </w:tcMar>
            <w:vAlign w:val="top"/>
          </w:tcPr>
          <w:p>
            <w:r>
              <w:rPr>
                <w:rFonts w:ascii="Jost" w:cs="Jost" w:eastAsia="Jost" w:hAnsi="Jost"/>
                <w:color w:val="1B2233"/>
                <w:sz w:val="21"/>
                <w:szCs w:val="21"/>
              </w:rPr>
              <w:t xml:space="preserve">(electronic) Trial Master File</w:t>
            </w:r>
          </w:p>
        </w:tc>
      </w:tr>
      <w:tr>
        <w:tc>
          <w:tcPr>
            <w:tcW w:type="dxa" w:w="1600"/>
            <w:tcMar>
              <w:top w:type="dxa" w:w="90"/>
              <w:left w:type="dxa" w:w="110"/>
              <w:bottom w:type="dxa" w:w="90"/>
              <w:right w:type="dxa" w:w="110"/>
            </w:tcMar>
            <w:vAlign w:val="top"/>
          </w:tcPr>
          <w:p>
            <w:r>
              <w:rPr>
                <w:rFonts w:ascii="Jost" w:cs="Jost" w:eastAsia="Jost" w:hAnsi="Jost"/>
                <w:color w:val="1B2233"/>
                <w:sz w:val="21"/>
                <w:szCs w:val="21"/>
              </w:rPr>
              <w:t xml:space="preserve">DPIA</w:t>
            </w:r>
          </w:p>
        </w:tc>
        <w:tc>
          <w:tcPr>
            <w:tcW w:type="dxa" w:w="3050"/>
            <w:tcMar>
              <w:top w:type="dxa" w:w="90"/>
              <w:left w:type="dxa" w:w="110"/>
              <w:bottom w:type="dxa" w:w="90"/>
              <w:right w:type="dxa" w:w="110"/>
            </w:tcMar>
            <w:vAlign w:val="top"/>
          </w:tcPr>
          <w:p>
            <w:r>
              <w:rPr>
                <w:rFonts w:ascii="Jost" w:cs="Jost" w:eastAsia="Jost" w:hAnsi="Jost"/>
                <w:color w:val="1B2233"/>
                <w:sz w:val="21"/>
                <w:szCs w:val="21"/>
              </w:rPr>
              <w:t xml:space="preserve">Data Protection Impact Assessment</w:t>
            </w:r>
          </w:p>
        </w:tc>
        <w:tc>
          <w:tcPr>
            <w:tcW w:type="dxa" w:w="1600"/>
            <w:tcMar>
              <w:top w:type="dxa" w:w="90"/>
              <w:left w:type="dxa" w:w="110"/>
              <w:bottom w:type="dxa" w:w="90"/>
              <w:right w:type="dxa" w:w="110"/>
            </w:tcMar>
            <w:vAlign w:val="top"/>
          </w:tcPr>
          <w:p>
            <w:r>
              <w:rPr>
                <w:rFonts w:ascii="Jost" w:cs="Jost" w:eastAsia="Jost" w:hAnsi="Jost"/>
                <w:color w:val="1B2233"/>
                <w:sz w:val="21"/>
                <w:szCs w:val="21"/>
              </w:rPr>
              <w:t xml:space="preserve">SAE / SUSAR</w:t>
            </w:r>
          </w:p>
        </w:tc>
        <w:tc>
          <w:tcPr>
            <w:tcW w:type="dxa" w:w="3100"/>
            <w:tcMar>
              <w:top w:type="dxa" w:w="90"/>
              <w:left w:type="dxa" w:w="110"/>
              <w:bottom w:type="dxa" w:w="90"/>
              <w:right w:type="dxa" w:w="110"/>
            </w:tcMar>
            <w:vAlign w:val="top"/>
          </w:tcPr>
          <w:p>
            <w:r>
              <w:rPr>
                <w:rFonts w:ascii="Jost" w:cs="Jost" w:eastAsia="Jost" w:hAnsi="Jost"/>
                <w:color w:val="1B2233"/>
                <w:sz w:val="21"/>
                <w:szCs w:val="21"/>
              </w:rPr>
              <w:t xml:space="preserve">Serious Adverse Event / Suspected Unexpected Serious Adverse Reaction</w:t>
            </w:r>
          </w:p>
        </w:tc>
      </w:tr>
      <w:tr>
        <w:tc>
          <w:tcPr>
            <w:tcW w:type="dxa" w:w="1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DPA</w:t>
            </w:r>
          </w:p>
        </w:tc>
        <w:tc>
          <w:tcPr>
            <w:tcW w:type="dxa" w:w="3050"/>
            <w:shd w:fill="F3F5FA" w:val="clear"/>
            <w:tcMar>
              <w:top w:type="dxa" w:w="90"/>
              <w:left w:type="dxa" w:w="110"/>
              <w:bottom w:type="dxa" w:w="90"/>
              <w:right w:type="dxa" w:w="110"/>
            </w:tcMar>
            <w:vAlign w:val="top"/>
          </w:tcPr>
          <w:p>
            <w:r>
              <w:rPr>
                <w:rFonts w:ascii="Jost" w:cs="Jost" w:eastAsia="Jost" w:hAnsi="Jost"/>
                <w:color w:val="1B2233"/>
                <w:sz w:val="21"/>
                <w:szCs w:val="21"/>
              </w:rPr>
              <w:t xml:space="preserve">Data Processing Agreement / Data Protection Authority</w:t>
            </w:r>
          </w:p>
        </w:tc>
        <w:tc>
          <w:tcPr>
            <w:tcW w:type="dxa" w:w="1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IRB / EC</w:t>
            </w:r>
          </w:p>
        </w:tc>
        <w:tc>
          <w:tcPr>
            <w:tcW w:type="dxa" w:w="3100"/>
            <w:shd w:fill="F3F5FA" w:val="clear"/>
            <w:tcMar>
              <w:top w:type="dxa" w:w="90"/>
              <w:left w:type="dxa" w:w="110"/>
              <w:bottom w:type="dxa" w:w="90"/>
              <w:right w:type="dxa" w:w="110"/>
            </w:tcMar>
            <w:vAlign w:val="top"/>
          </w:tcPr>
          <w:p>
            <w:r>
              <w:rPr>
                <w:rFonts w:ascii="Jost" w:cs="Jost" w:eastAsia="Jost" w:hAnsi="Jost"/>
                <w:color w:val="1B2233"/>
                <w:sz w:val="21"/>
                <w:szCs w:val="21"/>
              </w:rPr>
              <w:t xml:space="preserve">Institutional Review Board / Ethics Committee</w:t>
            </w:r>
          </w:p>
        </w:tc>
      </w:tr>
      <w:tr>
        <w:tc>
          <w:tcPr>
            <w:tcW w:type="dxa" w:w="1600"/>
            <w:tcMar>
              <w:top w:type="dxa" w:w="90"/>
              <w:left w:type="dxa" w:w="110"/>
              <w:bottom w:type="dxa" w:w="90"/>
              <w:right w:type="dxa" w:w="110"/>
            </w:tcMar>
            <w:vAlign w:val="top"/>
          </w:tcPr>
          <w:p>
            <w:r>
              <w:rPr>
                <w:rFonts w:ascii="Jost" w:cs="Jost" w:eastAsia="Jost" w:hAnsi="Jost"/>
                <w:color w:val="1B2233"/>
                <w:sz w:val="21"/>
                <w:szCs w:val="21"/>
              </w:rPr>
              <w:t xml:space="preserve">ROPA</w:t>
            </w:r>
          </w:p>
        </w:tc>
        <w:tc>
          <w:tcPr>
            <w:tcW w:type="dxa" w:w="3050"/>
            <w:tcMar>
              <w:top w:type="dxa" w:w="90"/>
              <w:left w:type="dxa" w:w="110"/>
              <w:bottom w:type="dxa" w:w="90"/>
              <w:right w:type="dxa" w:w="110"/>
            </w:tcMar>
            <w:vAlign w:val="top"/>
          </w:tcPr>
          <w:p>
            <w:r>
              <w:rPr>
                <w:rFonts w:ascii="Jost" w:cs="Jost" w:eastAsia="Jost" w:hAnsi="Jost"/>
                <w:color w:val="1B2233"/>
                <w:sz w:val="21"/>
                <w:szCs w:val="21"/>
              </w:rPr>
              <w:t xml:space="preserve">Record of Processing Activities</w:t>
            </w:r>
          </w:p>
        </w:tc>
        <w:tc>
          <w:tcPr>
            <w:tcW w:type="dxa" w:w="1600"/>
            <w:tcMar>
              <w:top w:type="dxa" w:w="90"/>
              <w:left w:type="dxa" w:w="110"/>
              <w:bottom w:type="dxa" w:w="90"/>
              <w:right w:type="dxa" w:w="110"/>
            </w:tcMar>
            <w:vAlign w:val="top"/>
          </w:tcPr>
          <w:p>
            <w:r>
              <w:rPr>
                <w:rFonts w:ascii="Jost" w:cs="Jost" w:eastAsia="Jost" w:hAnsi="Jost"/>
                <w:color w:val="1B2233"/>
                <w:sz w:val="21"/>
                <w:szCs w:val="21"/>
              </w:rPr>
              <w:t xml:space="preserve">ICH</w:t>
            </w:r>
          </w:p>
        </w:tc>
        <w:tc>
          <w:tcPr>
            <w:tcW w:type="dxa" w:w="3100"/>
            <w:tcMar>
              <w:top w:type="dxa" w:w="90"/>
              <w:left w:type="dxa" w:w="110"/>
              <w:bottom w:type="dxa" w:w="90"/>
              <w:right w:type="dxa" w:w="110"/>
            </w:tcMar>
            <w:vAlign w:val="top"/>
          </w:tcPr>
          <w:p>
            <w:r>
              <w:rPr>
                <w:rFonts w:ascii="Jost" w:cs="Jost" w:eastAsia="Jost" w:hAnsi="Jost"/>
                <w:color w:val="1B2233"/>
                <w:sz w:val="21"/>
                <w:szCs w:val="21"/>
              </w:rPr>
              <w:t xml:space="preserve">International Council for Harmonisation</w:t>
            </w:r>
          </w:p>
        </w:tc>
      </w:tr>
      <w:tr>
        <w:tc>
          <w:tcPr>
            <w:tcW w:type="dxa" w:w="1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CeSHarP</w:t>
            </w:r>
          </w:p>
        </w:tc>
        <w:tc>
          <w:tcPr>
            <w:tcW w:type="dxa" w:w="30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Clinical electronic Structured Harmonised Protocol (ICH M11)</w:t>
            </w:r>
          </w:p>
        </w:tc>
        <w:tc>
          <w:tcPr>
            <w:tcW w:type="dxa" w:w="1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EMA</w:t>
            </w:r>
          </w:p>
        </w:tc>
        <w:tc>
          <w:tcPr>
            <w:tcW w:type="dxa" w:w="3100"/>
            <w:shd w:fill="F3F5FA" w:val="clear"/>
            <w:tcMar>
              <w:top w:type="dxa" w:w="90"/>
              <w:left w:type="dxa" w:w="110"/>
              <w:bottom w:type="dxa" w:w="90"/>
              <w:right w:type="dxa" w:w="110"/>
            </w:tcMar>
            <w:vAlign w:val="top"/>
          </w:tcPr>
          <w:p>
            <w:r>
              <w:rPr>
                <w:rFonts w:ascii="Jost" w:cs="Jost" w:eastAsia="Jost" w:hAnsi="Jost"/>
                <w:color w:val="1B2233"/>
                <w:sz w:val="21"/>
                <w:szCs w:val="21"/>
              </w:rPr>
              <w:t xml:space="preserve">European Medicines Agency</w:t>
            </w:r>
          </w:p>
        </w:tc>
      </w:tr>
      <w:tr>
        <w:tc>
          <w:tcPr>
            <w:tcW w:type="dxa" w:w="1600"/>
            <w:tcMar>
              <w:top w:type="dxa" w:w="90"/>
              <w:left w:type="dxa" w:w="110"/>
              <w:bottom w:type="dxa" w:w="90"/>
              <w:right w:type="dxa" w:w="110"/>
            </w:tcMar>
            <w:vAlign w:val="top"/>
          </w:tcPr>
          <w:p>
            <w:r>
              <w:rPr>
                <w:rFonts w:ascii="Jost" w:cs="Jost" w:eastAsia="Jost" w:hAnsi="Jost"/>
                <w:color w:val="1B2233"/>
                <w:sz w:val="21"/>
                <w:szCs w:val="21"/>
              </w:rPr>
              <w:t xml:space="preserve">EDPB</w:t>
            </w:r>
          </w:p>
        </w:tc>
        <w:tc>
          <w:tcPr>
            <w:tcW w:type="dxa" w:w="3050"/>
            <w:tcMar>
              <w:top w:type="dxa" w:w="90"/>
              <w:left w:type="dxa" w:w="110"/>
              <w:bottom w:type="dxa" w:w="90"/>
              <w:right w:type="dxa" w:w="110"/>
            </w:tcMar>
            <w:vAlign w:val="top"/>
          </w:tcPr>
          <w:p>
            <w:r>
              <w:rPr>
                <w:rFonts w:ascii="Jost" w:cs="Jost" w:eastAsia="Jost" w:hAnsi="Jost"/>
                <w:color w:val="1B2233"/>
                <w:sz w:val="21"/>
                <w:szCs w:val="21"/>
              </w:rPr>
              <w:t xml:space="preserve">European Data Protection Board</w:t>
            </w:r>
          </w:p>
        </w:tc>
        <w:tc>
          <w:tcPr>
            <w:tcW w:type="dxa" w:w="1600"/>
            <w:tcMar>
              <w:top w:type="dxa" w:w="90"/>
              <w:left w:type="dxa" w:w="110"/>
              <w:bottom w:type="dxa" w:w="90"/>
              <w:right w:type="dxa" w:w="110"/>
            </w:tcMar>
            <w:vAlign w:val="top"/>
          </w:tcPr>
          <w:p>
            <w:r>
              <w:rPr>
                <w:rFonts w:ascii="Jost" w:cs="Jost" w:eastAsia="Jost" w:hAnsi="Jost"/>
                <w:color w:val="1B2233"/>
                <w:sz w:val="21"/>
                <w:szCs w:val="21"/>
              </w:rPr>
              <w:t xml:space="preserve">FDA</w:t>
            </w:r>
          </w:p>
        </w:tc>
        <w:tc>
          <w:tcPr>
            <w:tcW w:type="dxa" w:w="3100"/>
            <w:tcMar>
              <w:top w:type="dxa" w:w="90"/>
              <w:left w:type="dxa" w:w="110"/>
              <w:bottom w:type="dxa" w:w="90"/>
              <w:right w:type="dxa" w:w="110"/>
            </w:tcMar>
            <w:vAlign w:val="top"/>
          </w:tcPr>
          <w:p>
            <w:r>
              <w:rPr>
                <w:rFonts w:ascii="Jost" w:cs="Jost" w:eastAsia="Jost" w:hAnsi="Jost"/>
                <w:color w:val="1B2233"/>
                <w:sz w:val="21"/>
                <w:szCs w:val="21"/>
              </w:rPr>
              <w:t xml:space="preserve">US Food and Drug Administration</w:t>
            </w:r>
          </w:p>
        </w:tc>
      </w:tr>
      <w:tr>
        <w:tc>
          <w:tcPr>
            <w:tcW w:type="dxa" w:w="1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SCC</w:t>
            </w:r>
          </w:p>
        </w:tc>
        <w:tc>
          <w:tcPr>
            <w:tcW w:type="dxa" w:w="3050"/>
            <w:shd w:fill="F3F5FA" w:val="clear"/>
            <w:tcMar>
              <w:top w:type="dxa" w:w="90"/>
              <w:left w:type="dxa" w:w="110"/>
              <w:bottom w:type="dxa" w:w="90"/>
              <w:right w:type="dxa" w:w="110"/>
            </w:tcMar>
            <w:vAlign w:val="top"/>
          </w:tcPr>
          <w:p>
            <w:r>
              <w:rPr>
                <w:rFonts w:ascii="Jost" w:cs="Jost" w:eastAsia="Jost" w:hAnsi="Jost"/>
                <w:color w:val="1B2233"/>
                <w:sz w:val="21"/>
                <w:szCs w:val="21"/>
              </w:rPr>
              <w:t xml:space="preserve">Standard Contractual Clauses</w:t>
            </w:r>
          </w:p>
        </w:tc>
        <w:tc>
          <w:tcPr>
            <w:tcW w:type="dxa" w:w="1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CTR</w:t>
            </w:r>
          </w:p>
        </w:tc>
        <w:tc>
          <w:tcPr>
            <w:tcW w:type="dxa" w:w="3100"/>
            <w:shd w:fill="F3F5FA" w:val="clear"/>
            <w:tcMar>
              <w:top w:type="dxa" w:w="90"/>
              <w:left w:type="dxa" w:w="110"/>
              <w:bottom w:type="dxa" w:w="90"/>
              <w:right w:type="dxa" w:w="110"/>
            </w:tcMar>
            <w:vAlign w:val="top"/>
          </w:tcPr>
          <w:p>
            <w:r>
              <w:rPr>
                <w:rFonts w:ascii="Jost" w:cs="Jost" w:eastAsia="Jost" w:hAnsi="Jost"/>
                <w:color w:val="1B2233"/>
                <w:sz w:val="21"/>
                <w:szCs w:val="21"/>
              </w:rPr>
              <w:t xml:space="preserve">Clinical Trials Regulation (EU) No 536/2014</w:t>
            </w:r>
          </w:p>
        </w:tc>
      </w:tr>
    </w:tbl>
    <w:p>
      <w:pPr>
        <w:pStyle w:val="Heading1"/>
        <w:pBdr>
          <w:bottom w:val="single" w:color="0F9E8E" w:sz="8" w:space="6"/>
        </w:pBdr>
        <w:spacing w:after="200" w:before="400"/>
      </w:pPr>
      <w:r>
        <w:rPr>
          <w:rFonts w:ascii="Jost" w:cs="Jost" w:eastAsia="Jost" w:hAnsi="Jost"/>
          <w:b/>
          <w:bCs/>
          <w:color w:val="0F9E8E"/>
        </w:rPr>
        <w:t xml:space="preserve">5.  </w:t>
      </w:r>
      <w:r>
        <w:rPr>
          <w:rFonts w:ascii="Cormorant Garamond" w:cs="Cormorant Garamond" w:eastAsia="Cormorant Garamond" w:hAnsi="Cormorant Garamond"/>
          <w:b/>
          <w:bCs/>
          <w:color w:val="0A0E1C"/>
          <w:sz w:val="34"/>
          <w:szCs w:val="34"/>
        </w:rPr>
        <w:t xml:space="preserve">Regulatory &amp; Guidance Framework</w:t>
      </w:r>
    </w:p>
    <w:p>
      <w:pPr>
        <w:spacing w:after="140"/>
      </w:pPr>
      <w:r>
        <w:rPr>
          <w:rFonts w:ascii="Jost" w:cs="Jost" w:eastAsia="Jost" w:hAnsi="Jost"/>
          <w:color w:val="1B2233"/>
          <w:sz w:val="21"/>
          <w:szCs w:val="21"/>
        </w:rPr>
        <w:t xml:space="preserve">This SOP satisfies GDPR obligations concurrently with the following FDA (US) and EMA (EU) authorities and guidances. Where requirements diverge, personnel must apply the more stringent standard unless a documented, risk-based justification states otherwise.</w:t>
      </w:r>
    </w:p>
    <w:p>
      <w:pPr>
        <w:pStyle w:val="Heading3"/>
        <w:spacing w:after="100" w:before="200"/>
      </w:pPr>
      <w:r>
        <w:rPr>
          <w:rFonts w:ascii="Jost" w:cs="Jost" w:eastAsia="Jost" w:hAnsi="Jost"/>
          <w:b/>
          <w:bCs/>
          <w:color w:val="0F9E8E"/>
          <w:sz w:val="22"/>
          <w:szCs w:val="22"/>
        </w:rPr>
        <w:t xml:space="preserve">🇺🇸  FDA (US)</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1700"/>
        <w:gridCol w:w="3350"/>
        <w:gridCol w:w="4300"/>
      </w:tblGrid>
      <w:tr>
        <w:trPr>
          <w:tblHeader/>
        </w:trPr>
        <w:tc>
          <w:tcPr>
            <w:tcW w:type="dxa" w:w="17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Reference</w:t>
            </w:r>
          </w:p>
        </w:tc>
        <w:tc>
          <w:tcPr>
            <w:tcW w:type="dxa" w:w="33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Title</w:t>
            </w:r>
          </w:p>
        </w:tc>
        <w:tc>
          <w:tcPr>
            <w:tcW w:type="dxa" w:w="43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Application</w:t>
            </w:r>
          </w:p>
        </w:tc>
      </w:tr>
      <w:tr>
        <w:tc>
          <w:tcPr>
            <w:tcW w:type="dxa" w:w="1700"/>
            <w:tcMar>
              <w:top w:type="dxa" w:w="90"/>
              <w:left w:type="dxa" w:w="110"/>
              <w:bottom w:type="dxa" w:w="90"/>
              <w:right w:type="dxa" w:w="110"/>
            </w:tcMar>
            <w:vAlign w:val="top"/>
          </w:tcPr>
          <w:p>
            <w:r>
              <w:rPr>
                <w:rFonts w:ascii="Jost" w:cs="Jost" w:eastAsia="Jost" w:hAnsi="Jost"/>
                <w:color w:val="1B2233"/>
                <w:sz w:val="21"/>
                <w:szCs w:val="21"/>
              </w:rPr>
              <w:t xml:space="preserve">21 CFR Part 312</w:t>
            </w:r>
          </w:p>
        </w:tc>
        <w:tc>
          <w:tcPr>
            <w:tcW w:type="dxa" w:w="3350"/>
            <w:tcMar>
              <w:top w:type="dxa" w:w="90"/>
              <w:left w:type="dxa" w:w="110"/>
              <w:bottom w:type="dxa" w:w="90"/>
              <w:right w:type="dxa" w:w="110"/>
            </w:tcMar>
            <w:vAlign w:val="top"/>
          </w:tcPr>
          <w:p>
            <w:r>
              <w:rPr>
                <w:rFonts w:ascii="Jost" w:cs="Jost" w:eastAsia="Jost" w:hAnsi="Jost"/>
                <w:color w:val="1B2233"/>
                <w:sz w:val="21"/>
                <w:szCs w:val="21"/>
              </w:rPr>
              <w:t xml:space="preserve">Investigational New Drug Application</w:t>
            </w:r>
          </w:p>
        </w:tc>
        <w:tc>
          <w:tcPr>
            <w:tcW w:type="dxa" w:w="4300"/>
            <w:tcMar>
              <w:top w:type="dxa" w:w="90"/>
              <w:left w:type="dxa" w:w="110"/>
              <w:bottom w:type="dxa" w:w="90"/>
              <w:right w:type="dxa" w:w="110"/>
            </w:tcMar>
            <w:vAlign w:val="top"/>
          </w:tcPr>
          <w:p>
            <w:r>
              <w:rPr>
                <w:rFonts w:ascii="Jost" w:cs="Jost" w:eastAsia="Jost" w:hAnsi="Jost"/>
                <w:color w:val="1B2233"/>
                <w:sz w:val="21"/>
                <w:szCs w:val="21"/>
              </w:rPr>
              <w:t xml:space="preserve">IND submission, sponsor obligations, safety reporting requirements.</w:t>
            </w:r>
          </w:p>
        </w:tc>
      </w:tr>
      <w:tr>
        <w:tc>
          <w:tcPr>
            <w:tcW w:type="dxa" w:w="1700"/>
            <w:shd w:fill="F3F5FA" w:val="clear"/>
            <w:tcMar>
              <w:top w:type="dxa" w:w="90"/>
              <w:left w:type="dxa" w:w="110"/>
              <w:bottom w:type="dxa" w:w="90"/>
              <w:right w:type="dxa" w:w="110"/>
            </w:tcMar>
            <w:vAlign w:val="top"/>
          </w:tcPr>
          <w:p>
            <w:r>
              <w:rPr>
                <w:rFonts w:ascii="Jost" w:cs="Jost" w:eastAsia="Jost" w:hAnsi="Jost"/>
                <w:color w:val="1B2233"/>
                <w:sz w:val="21"/>
                <w:szCs w:val="21"/>
              </w:rPr>
              <w:t xml:space="preserve">21 CFR Part 50</w:t>
            </w:r>
          </w:p>
        </w:tc>
        <w:tc>
          <w:tcPr>
            <w:tcW w:type="dxa" w:w="3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Protection of Human Subjects</w:t>
            </w:r>
          </w:p>
        </w:tc>
        <w:tc>
          <w:tcPr>
            <w:tcW w:type="dxa" w:w="4300"/>
            <w:shd w:fill="F3F5FA" w:val="clear"/>
            <w:tcMar>
              <w:top w:type="dxa" w:w="90"/>
              <w:left w:type="dxa" w:w="110"/>
              <w:bottom w:type="dxa" w:w="90"/>
              <w:right w:type="dxa" w:w="110"/>
            </w:tcMar>
            <w:vAlign w:val="top"/>
          </w:tcPr>
          <w:p>
            <w:r>
              <w:rPr>
                <w:rFonts w:ascii="Jost" w:cs="Jost" w:eastAsia="Jost" w:hAnsi="Jost"/>
                <w:color w:val="1B2233"/>
                <w:sz w:val="21"/>
                <w:szCs w:val="21"/>
              </w:rPr>
              <w:t xml:space="preserve">Informed consent elements — distinct from, and layered atop, GDPR transparency notices.</w:t>
            </w:r>
          </w:p>
        </w:tc>
      </w:tr>
      <w:tr>
        <w:tc>
          <w:tcPr>
            <w:tcW w:type="dxa" w:w="1700"/>
            <w:tcMar>
              <w:top w:type="dxa" w:w="90"/>
              <w:left w:type="dxa" w:w="110"/>
              <w:bottom w:type="dxa" w:w="90"/>
              <w:right w:type="dxa" w:w="110"/>
            </w:tcMar>
            <w:vAlign w:val="top"/>
          </w:tcPr>
          <w:p>
            <w:r>
              <w:rPr>
                <w:rFonts w:ascii="Jost" w:cs="Jost" w:eastAsia="Jost" w:hAnsi="Jost"/>
                <w:color w:val="1B2233"/>
                <w:sz w:val="21"/>
                <w:szCs w:val="21"/>
              </w:rPr>
              <w:t xml:space="preserve">21 CFR Part 54</w:t>
            </w:r>
          </w:p>
        </w:tc>
        <w:tc>
          <w:tcPr>
            <w:tcW w:type="dxa" w:w="3350"/>
            <w:tcMar>
              <w:top w:type="dxa" w:w="90"/>
              <w:left w:type="dxa" w:w="110"/>
              <w:bottom w:type="dxa" w:w="90"/>
              <w:right w:type="dxa" w:w="110"/>
            </w:tcMar>
            <w:vAlign w:val="top"/>
          </w:tcPr>
          <w:p>
            <w:r>
              <w:rPr>
                <w:rFonts w:ascii="Jost" w:cs="Jost" w:eastAsia="Jost" w:hAnsi="Jost"/>
                <w:color w:val="1B2233"/>
                <w:sz w:val="21"/>
                <w:szCs w:val="21"/>
              </w:rPr>
              <w:t xml:space="preserve">Financial Disclosure by Clinical Investigators</w:t>
            </w:r>
          </w:p>
        </w:tc>
        <w:tc>
          <w:tcPr>
            <w:tcW w:type="dxa" w:w="4300"/>
            <w:tcMar>
              <w:top w:type="dxa" w:w="90"/>
              <w:left w:type="dxa" w:w="110"/>
              <w:bottom w:type="dxa" w:w="90"/>
              <w:right w:type="dxa" w:w="110"/>
            </w:tcMar>
            <w:vAlign w:val="top"/>
          </w:tcPr>
          <w:p>
            <w:r>
              <w:rPr>
                <w:rFonts w:ascii="Jost" w:cs="Jost" w:eastAsia="Jost" w:hAnsi="Jost"/>
                <w:color w:val="1B2233"/>
                <w:sz w:val="21"/>
                <w:szCs w:val="21"/>
              </w:rPr>
              <w:t xml:space="preserve">Investigator financial interest data — treated as personal data of the investigator under GDPR.</w:t>
            </w:r>
          </w:p>
        </w:tc>
      </w:tr>
      <w:tr>
        <w:tc>
          <w:tcPr>
            <w:tcW w:type="dxa" w:w="1700"/>
            <w:shd w:fill="F3F5FA" w:val="clear"/>
            <w:tcMar>
              <w:top w:type="dxa" w:w="90"/>
              <w:left w:type="dxa" w:w="110"/>
              <w:bottom w:type="dxa" w:w="90"/>
              <w:right w:type="dxa" w:w="110"/>
            </w:tcMar>
            <w:vAlign w:val="top"/>
          </w:tcPr>
          <w:p>
            <w:r>
              <w:rPr>
                <w:rFonts w:ascii="Jost" w:cs="Jost" w:eastAsia="Jost" w:hAnsi="Jost"/>
                <w:color w:val="1B2233"/>
                <w:sz w:val="21"/>
                <w:szCs w:val="21"/>
              </w:rPr>
              <w:t xml:space="preserve">21 CFR Part 11</w:t>
            </w:r>
          </w:p>
        </w:tc>
        <w:tc>
          <w:tcPr>
            <w:tcW w:type="dxa" w:w="3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Electronic Records; Electronic Signatures</w:t>
            </w:r>
          </w:p>
        </w:tc>
        <w:tc>
          <w:tcPr>
            <w:tcW w:type="dxa" w:w="4300"/>
            <w:shd w:fill="F3F5FA" w:val="clear"/>
            <w:tcMar>
              <w:top w:type="dxa" w:w="90"/>
              <w:left w:type="dxa" w:w="110"/>
              <w:bottom w:type="dxa" w:w="90"/>
              <w:right w:type="dxa" w:w="110"/>
            </w:tcMar>
            <w:vAlign w:val="top"/>
          </w:tcPr>
          <w:p>
            <w:r>
              <w:rPr>
                <w:rFonts w:ascii="Jost" w:cs="Jost" w:eastAsia="Jost" w:hAnsi="Jost"/>
                <w:color w:val="1B2233"/>
                <w:sz w:val="21"/>
                <w:szCs w:val="21"/>
              </w:rPr>
              <w:t xml:space="preserve">Audit trail, access control, and integrity controls reinforcing GDPR Art. 32.</w:t>
            </w:r>
          </w:p>
        </w:tc>
      </w:tr>
      <w:tr>
        <w:tc>
          <w:tcPr>
            <w:tcW w:type="dxa" w:w="1700"/>
            <w:tcMar>
              <w:top w:type="dxa" w:w="90"/>
              <w:left w:type="dxa" w:w="110"/>
              <w:bottom w:type="dxa" w:w="90"/>
              <w:right w:type="dxa" w:w="110"/>
            </w:tcMar>
            <w:vAlign w:val="top"/>
          </w:tcPr>
          <w:p>
            <w:r>
              <w:rPr>
                <w:rFonts w:ascii="Jost" w:cs="Jost" w:eastAsia="Jost" w:hAnsi="Jost"/>
                <w:color w:val="1B2233"/>
                <w:sz w:val="21"/>
                <w:szCs w:val="21"/>
              </w:rPr>
              <w:t xml:space="preserve">ICH E6(R3)</w:t>
            </w:r>
          </w:p>
        </w:tc>
        <w:tc>
          <w:tcPr>
            <w:tcW w:type="dxa" w:w="3350"/>
            <w:tcMar>
              <w:top w:type="dxa" w:w="90"/>
              <w:left w:type="dxa" w:w="110"/>
              <w:bottom w:type="dxa" w:w="90"/>
              <w:right w:type="dxa" w:w="110"/>
            </w:tcMar>
            <w:vAlign w:val="top"/>
          </w:tcPr>
          <w:p>
            <w:r>
              <w:rPr>
                <w:rFonts w:ascii="Jost" w:cs="Jost" w:eastAsia="Jost" w:hAnsi="Jost"/>
                <w:color w:val="1B2233"/>
                <w:sz w:val="21"/>
                <w:szCs w:val="21"/>
              </w:rPr>
              <w:t xml:space="preserve">Good Clinical Practice</w:t>
            </w:r>
          </w:p>
        </w:tc>
        <w:tc>
          <w:tcPr>
            <w:tcW w:type="dxa" w:w="4300"/>
            <w:tcMar>
              <w:top w:type="dxa" w:w="90"/>
              <w:left w:type="dxa" w:w="110"/>
              <w:bottom w:type="dxa" w:w="90"/>
              <w:right w:type="dxa" w:w="110"/>
            </w:tcMar>
            <w:vAlign w:val="top"/>
          </w:tcPr>
          <w:p>
            <w:r>
              <w:rPr>
                <w:rFonts w:ascii="Jost" w:cs="Jost" w:eastAsia="Jost" w:hAnsi="Jost"/>
                <w:color w:val="1B2233"/>
                <w:sz w:val="21"/>
                <w:szCs w:val="21"/>
              </w:rPr>
              <w:t xml:space="preserve">Quality management, data governance, risk-based oversight expectations.</w:t>
            </w:r>
          </w:p>
        </w:tc>
      </w:tr>
      <w:tr>
        <w:tc>
          <w:tcPr>
            <w:tcW w:type="dxa" w:w="1700"/>
            <w:shd w:fill="F3F5FA" w:val="clear"/>
            <w:tcMar>
              <w:top w:type="dxa" w:w="90"/>
              <w:left w:type="dxa" w:w="110"/>
              <w:bottom w:type="dxa" w:w="90"/>
              <w:right w:type="dxa" w:w="110"/>
            </w:tcMar>
            <w:vAlign w:val="top"/>
          </w:tcPr>
          <w:p>
            <w:r>
              <w:rPr>
                <w:rFonts w:ascii="Jost" w:cs="Jost" w:eastAsia="Jost" w:hAnsi="Jost"/>
                <w:color w:val="1B2233"/>
                <w:sz w:val="21"/>
                <w:szCs w:val="21"/>
              </w:rPr>
              <w:t xml:space="preserve">ICH M11</w:t>
            </w:r>
          </w:p>
        </w:tc>
        <w:tc>
          <w:tcPr>
            <w:tcW w:type="dxa" w:w="3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CeSHarP</w:t>
            </w:r>
          </w:p>
        </w:tc>
        <w:tc>
          <w:tcPr>
            <w:tcW w:type="dxa" w:w="4300"/>
            <w:shd w:fill="F3F5FA" w:val="clear"/>
            <w:tcMar>
              <w:top w:type="dxa" w:w="90"/>
              <w:left w:type="dxa" w:w="110"/>
              <w:bottom w:type="dxa" w:w="90"/>
              <w:right w:type="dxa" w:w="110"/>
            </w:tcMar>
            <w:vAlign w:val="top"/>
          </w:tcPr>
          <w:p>
            <w:r>
              <w:rPr>
                <w:rFonts w:ascii="Jost" w:cs="Jost" w:eastAsia="Jost" w:hAnsi="Jost"/>
                <w:color w:val="1B2233"/>
                <w:sz w:val="21"/>
                <w:szCs w:val="21"/>
              </w:rPr>
              <w:t xml:space="preserve">Structured digital protocol template — data privacy section must reflect GDPR notices &amp; data flows.</w:t>
            </w:r>
          </w:p>
        </w:tc>
      </w:tr>
    </w:tbl>
    <w:p>
      <w:pPr>
        <w:pStyle w:val="Heading3"/>
        <w:spacing w:after="100" w:before="200"/>
      </w:pPr>
      <w:r>
        <w:rPr>
          <w:rFonts w:ascii="Jost" w:cs="Jost" w:eastAsia="Jost" w:hAnsi="Jost"/>
          <w:b/>
          <w:bCs/>
          <w:color w:val="0F9E8E"/>
          <w:sz w:val="22"/>
          <w:szCs w:val="22"/>
        </w:rPr>
        <w:t xml:space="preserve">🇪🇺  EMA (EU)</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1700"/>
        <w:gridCol w:w="3350"/>
        <w:gridCol w:w="4300"/>
      </w:tblGrid>
      <w:tr>
        <w:trPr>
          <w:tblHeader/>
        </w:trPr>
        <w:tc>
          <w:tcPr>
            <w:tcW w:type="dxa" w:w="17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Reference</w:t>
            </w:r>
          </w:p>
        </w:tc>
        <w:tc>
          <w:tcPr>
            <w:tcW w:type="dxa" w:w="33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Title</w:t>
            </w:r>
          </w:p>
        </w:tc>
        <w:tc>
          <w:tcPr>
            <w:tcW w:type="dxa" w:w="43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Application</w:t>
            </w:r>
          </w:p>
        </w:tc>
      </w:tr>
      <w:tr>
        <w:tc>
          <w:tcPr>
            <w:tcW w:type="dxa" w:w="1700"/>
            <w:tcMar>
              <w:top w:type="dxa" w:w="90"/>
              <w:left w:type="dxa" w:w="110"/>
              <w:bottom w:type="dxa" w:w="90"/>
              <w:right w:type="dxa" w:w="110"/>
            </w:tcMar>
            <w:vAlign w:val="top"/>
          </w:tcPr>
          <w:p>
            <w:r>
              <w:rPr>
                <w:rFonts w:ascii="Jost" w:cs="Jost" w:eastAsia="Jost" w:hAnsi="Jost"/>
                <w:color w:val="1B2233"/>
                <w:sz w:val="21"/>
                <w:szCs w:val="21"/>
              </w:rPr>
              <w:t xml:space="preserve">EU CTR 536/2014</w:t>
            </w:r>
          </w:p>
        </w:tc>
        <w:tc>
          <w:tcPr>
            <w:tcW w:type="dxa" w:w="3350"/>
            <w:tcMar>
              <w:top w:type="dxa" w:w="90"/>
              <w:left w:type="dxa" w:w="110"/>
              <w:bottom w:type="dxa" w:w="90"/>
              <w:right w:type="dxa" w:w="110"/>
            </w:tcMar>
            <w:vAlign w:val="top"/>
          </w:tcPr>
          <w:p>
            <w:r>
              <w:rPr>
                <w:rFonts w:ascii="Jost" w:cs="Jost" w:eastAsia="Jost" w:hAnsi="Jost"/>
                <w:color w:val="1B2233"/>
                <w:sz w:val="21"/>
                <w:szCs w:val="21"/>
              </w:rPr>
              <w:t xml:space="preserve">EU Clinical Trials Regulation</w:t>
            </w:r>
          </w:p>
        </w:tc>
        <w:tc>
          <w:tcPr>
            <w:tcW w:type="dxa" w:w="4300"/>
            <w:tcMar>
              <w:top w:type="dxa" w:w="90"/>
              <w:left w:type="dxa" w:w="110"/>
              <w:bottom w:type="dxa" w:w="90"/>
              <w:right w:type="dxa" w:w="110"/>
            </w:tcMar>
            <w:vAlign w:val="top"/>
          </w:tcPr>
          <w:p>
            <w:r>
              <w:rPr>
                <w:rFonts w:ascii="Jost" w:cs="Jost" w:eastAsia="Jost" w:hAnsi="Jost"/>
                <w:color w:val="1B2233"/>
                <w:sz w:val="21"/>
                <w:szCs w:val="21"/>
              </w:rPr>
              <w:t xml:space="preserve">Harmonized EU trial authorization; Art. 93–99 govern personal data processing.</w:t>
            </w:r>
          </w:p>
        </w:tc>
      </w:tr>
      <w:tr>
        <w:tc>
          <w:tcPr>
            <w:tcW w:type="dxa" w:w="1700"/>
            <w:shd w:fill="F3F5FA" w:val="clear"/>
            <w:tcMar>
              <w:top w:type="dxa" w:w="90"/>
              <w:left w:type="dxa" w:w="110"/>
              <w:bottom w:type="dxa" w:w="90"/>
              <w:right w:type="dxa" w:w="110"/>
            </w:tcMar>
            <w:vAlign w:val="top"/>
          </w:tcPr>
          <w:p>
            <w:r>
              <w:rPr>
                <w:rFonts w:ascii="Jost" w:cs="Jost" w:eastAsia="Jost" w:hAnsi="Jost"/>
                <w:color w:val="1B2233"/>
                <w:sz w:val="21"/>
                <w:szCs w:val="21"/>
              </w:rPr>
              <w:t xml:space="preserve">CTIS</w:t>
            </w:r>
          </w:p>
        </w:tc>
        <w:tc>
          <w:tcPr>
            <w:tcW w:type="dxa" w:w="3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Clinical Trials Information System</w:t>
            </w:r>
          </w:p>
        </w:tc>
        <w:tc>
          <w:tcPr>
            <w:tcW w:type="dxa" w:w="4300"/>
            <w:shd w:fill="F3F5FA" w:val="clear"/>
            <w:tcMar>
              <w:top w:type="dxa" w:w="90"/>
              <w:left w:type="dxa" w:w="110"/>
              <w:bottom w:type="dxa" w:w="90"/>
              <w:right w:type="dxa" w:w="110"/>
            </w:tcMar>
            <w:vAlign w:val="top"/>
          </w:tcPr>
          <w:p>
            <w:r>
              <w:rPr>
                <w:rFonts w:ascii="Jost" w:cs="Jost" w:eastAsia="Jost" w:hAnsi="Jost"/>
                <w:color w:val="1B2233"/>
                <w:sz w:val="21"/>
                <w:szCs w:val="21"/>
              </w:rPr>
              <w:t xml:space="preserve">Central EU portal; public layer must be scrubbed of participant/investigator personal data.</w:t>
            </w:r>
          </w:p>
        </w:tc>
      </w:tr>
      <w:tr>
        <w:tc>
          <w:tcPr>
            <w:tcW w:type="dxa" w:w="1700"/>
            <w:tcMar>
              <w:top w:type="dxa" w:w="90"/>
              <w:left w:type="dxa" w:w="110"/>
              <w:bottom w:type="dxa" w:w="90"/>
              <w:right w:type="dxa" w:w="110"/>
            </w:tcMar>
            <w:vAlign w:val="top"/>
          </w:tcPr>
          <w:p>
            <w:r>
              <w:rPr>
                <w:rFonts w:ascii="Jost" w:cs="Jost" w:eastAsia="Jost" w:hAnsi="Jost"/>
                <w:color w:val="1B2233"/>
                <w:sz w:val="21"/>
                <w:szCs w:val="21"/>
              </w:rPr>
              <w:t xml:space="preserve">EudraLex Vol. 10</w:t>
            </w:r>
          </w:p>
        </w:tc>
        <w:tc>
          <w:tcPr>
            <w:tcW w:type="dxa" w:w="3350"/>
            <w:tcMar>
              <w:top w:type="dxa" w:w="90"/>
              <w:left w:type="dxa" w:w="110"/>
              <w:bottom w:type="dxa" w:w="90"/>
              <w:right w:type="dxa" w:w="110"/>
            </w:tcMar>
            <w:vAlign w:val="top"/>
          </w:tcPr>
          <w:p>
            <w:r>
              <w:rPr>
                <w:rFonts w:ascii="Jost" w:cs="Jost" w:eastAsia="Jost" w:hAnsi="Jost"/>
                <w:color w:val="1B2233"/>
                <w:sz w:val="21"/>
                <w:szCs w:val="21"/>
              </w:rPr>
              <w:t xml:space="preserve">Clinical Trials Guidelines</w:t>
            </w:r>
          </w:p>
        </w:tc>
        <w:tc>
          <w:tcPr>
            <w:tcW w:type="dxa" w:w="4300"/>
            <w:tcMar>
              <w:top w:type="dxa" w:w="90"/>
              <w:left w:type="dxa" w:w="110"/>
              <w:bottom w:type="dxa" w:w="90"/>
              <w:right w:type="dxa" w:w="110"/>
            </w:tcMar>
            <w:vAlign w:val="top"/>
          </w:tcPr>
          <w:p>
            <w:r>
              <w:rPr>
                <w:rFonts w:ascii="Jost" w:cs="Jost" w:eastAsia="Jost" w:hAnsi="Jost"/>
                <w:color w:val="1B2233"/>
                <w:sz w:val="21"/>
                <w:szCs w:val="21"/>
              </w:rPr>
              <w:t xml:space="preserve">Implementing guidance for CTR, including transparency &amp; data protection annexes.</w:t>
            </w:r>
          </w:p>
        </w:tc>
      </w:tr>
      <w:tr>
        <w:tc>
          <w:tcPr>
            <w:tcW w:type="dxa" w:w="1700"/>
            <w:shd w:fill="F3F5FA" w:val="clear"/>
            <w:tcMar>
              <w:top w:type="dxa" w:w="90"/>
              <w:left w:type="dxa" w:w="110"/>
              <w:bottom w:type="dxa" w:w="90"/>
              <w:right w:type="dxa" w:w="110"/>
            </w:tcMar>
            <w:vAlign w:val="top"/>
          </w:tcPr>
          <w:p>
            <w:r>
              <w:rPr>
                <w:rFonts w:ascii="Jost" w:cs="Jost" w:eastAsia="Jost" w:hAnsi="Jost"/>
                <w:color w:val="1B2233"/>
                <w:sz w:val="21"/>
                <w:szCs w:val="21"/>
              </w:rPr>
              <w:t xml:space="preserve">ICH E6(R3)</w:t>
            </w:r>
          </w:p>
        </w:tc>
        <w:tc>
          <w:tcPr>
            <w:tcW w:type="dxa" w:w="3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Good Clinical Practice</w:t>
            </w:r>
          </w:p>
        </w:tc>
        <w:tc>
          <w:tcPr>
            <w:tcW w:type="dxa" w:w="4300"/>
            <w:shd w:fill="F3F5FA" w:val="clear"/>
            <w:tcMar>
              <w:top w:type="dxa" w:w="90"/>
              <w:left w:type="dxa" w:w="110"/>
              <w:bottom w:type="dxa" w:w="90"/>
              <w:right w:type="dxa" w:w="110"/>
            </w:tcMar>
            <w:vAlign w:val="top"/>
          </w:tcPr>
          <w:p>
            <w:r>
              <w:rPr>
                <w:rFonts w:ascii="Jost" w:cs="Jost" w:eastAsia="Jost" w:hAnsi="Jost"/>
                <w:color w:val="1B2233"/>
                <w:sz w:val="21"/>
                <w:szCs w:val="21"/>
              </w:rPr>
              <w:t xml:space="preserve">EU-adopted GCP standard, cross-referenced with FDA implementation.</w:t>
            </w:r>
          </w:p>
        </w:tc>
      </w:tr>
      <w:tr>
        <w:tc>
          <w:tcPr>
            <w:tcW w:type="dxa" w:w="1700"/>
            <w:tcMar>
              <w:top w:type="dxa" w:w="90"/>
              <w:left w:type="dxa" w:w="110"/>
              <w:bottom w:type="dxa" w:w="90"/>
              <w:right w:type="dxa" w:w="110"/>
            </w:tcMar>
            <w:vAlign w:val="top"/>
          </w:tcPr>
          <w:p>
            <w:r>
              <w:rPr>
                <w:rFonts w:ascii="Jost" w:cs="Jost" w:eastAsia="Jost" w:hAnsi="Jost"/>
                <w:color w:val="1B2233"/>
                <w:sz w:val="21"/>
                <w:szCs w:val="21"/>
              </w:rPr>
              <w:t xml:space="preserve">GDPR Art. 9</w:t>
            </w:r>
          </w:p>
        </w:tc>
        <w:tc>
          <w:tcPr>
            <w:tcW w:type="dxa" w:w="3350"/>
            <w:tcMar>
              <w:top w:type="dxa" w:w="90"/>
              <w:left w:type="dxa" w:w="110"/>
              <w:bottom w:type="dxa" w:w="90"/>
              <w:right w:type="dxa" w:w="110"/>
            </w:tcMar>
            <w:vAlign w:val="top"/>
          </w:tcPr>
          <w:p>
            <w:r>
              <w:rPr>
                <w:rFonts w:ascii="Jost" w:cs="Jost" w:eastAsia="Jost" w:hAnsi="Jost"/>
                <w:color w:val="1B2233"/>
                <w:sz w:val="21"/>
                <w:szCs w:val="21"/>
              </w:rPr>
              <w:t xml:space="preserve">Special Category (Health) Data</w:t>
            </w:r>
          </w:p>
        </w:tc>
        <w:tc>
          <w:tcPr>
            <w:tcW w:type="dxa" w:w="4300"/>
            <w:tcMar>
              <w:top w:type="dxa" w:w="90"/>
              <w:left w:type="dxa" w:w="110"/>
              <w:bottom w:type="dxa" w:w="90"/>
              <w:right w:type="dxa" w:w="110"/>
            </w:tcMar>
            <w:vAlign w:val="top"/>
          </w:tcPr>
          <w:p>
            <w:r>
              <w:rPr>
                <w:rFonts w:ascii="Jost" w:cs="Jost" w:eastAsia="Jost" w:hAnsi="Jost"/>
                <w:color w:val="1B2233"/>
                <w:sz w:val="21"/>
                <w:szCs w:val="21"/>
              </w:rPr>
              <w:t xml:space="preserve">Core legal basis provision governing clinical trial data processing.</w:t>
            </w:r>
          </w:p>
        </w:tc>
      </w:tr>
      <w:tr>
        <w:tc>
          <w:tcPr>
            <w:tcW w:type="dxa" w:w="1700"/>
            <w:shd w:fill="F3F5FA" w:val="clear"/>
            <w:tcMar>
              <w:top w:type="dxa" w:w="90"/>
              <w:left w:type="dxa" w:w="110"/>
              <w:bottom w:type="dxa" w:w="90"/>
              <w:right w:type="dxa" w:w="110"/>
            </w:tcMar>
            <w:vAlign w:val="top"/>
          </w:tcPr>
          <w:p>
            <w:r>
              <w:rPr>
                <w:rFonts w:ascii="Jost" w:cs="Jost" w:eastAsia="Jost" w:hAnsi="Jost"/>
                <w:color w:val="1B2233"/>
                <w:sz w:val="21"/>
                <w:szCs w:val="21"/>
              </w:rPr>
              <w:t xml:space="preserve">ICH M11</w:t>
            </w:r>
          </w:p>
        </w:tc>
        <w:tc>
          <w:tcPr>
            <w:tcW w:type="dxa" w:w="3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CeSHarP</w:t>
            </w:r>
          </w:p>
        </w:tc>
        <w:tc>
          <w:tcPr>
            <w:tcW w:type="dxa" w:w="4300"/>
            <w:shd w:fill="F3F5FA" w:val="clear"/>
            <w:tcMar>
              <w:top w:type="dxa" w:w="90"/>
              <w:left w:type="dxa" w:w="110"/>
              <w:bottom w:type="dxa" w:w="90"/>
              <w:right w:type="dxa" w:w="110"/>
            </w:tcMar>
            <w:vAlign w:val="top"/>
          </w:tcPr>
          <w:p>
            <w:r>
              <w:rPr>
                <w:rFonts w:ascii="Jost" w:cs="Jost" w:eastAsia="Jost" w:hAnsi="Jost"/>
                <w:color w:val="1B2233"/>
                <w:sz w:val="21"/>
                <w:szCs w:val="21"/>
              </w:rPr>
              <w:t xml:space="preserve">Jointly adopted structured protocol template (see Section 7.14).</w:t>
            </w:r>
          </w:p>
        </w:tc>
      </w:tr>
    </w:tbl>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9350"/>
      </w:tblGrid>
      <w:tr>
        <w:tc>
          <w:tcPr>
            <w:tcBorders>
              <w:top w:val="single" w:color="D8DCE8" w:sz="2"/>
              <w:left w:val="single" w:color="A9822A" w:sz="24"/>
              <w:bottom w:val="single" w:color="D8DCE8" w:sz="2"/>
              <w:right w:val="single" w:color="D8DCE8" w:sz="2"/>
            </w:tcBorders>
            <w:shd w:fill="F5F6FB" w:val="clear"/>
            <w:tcMar>
              <w:top w:type="dxa" w:w="140"/>
              <w:left w:type="dxa" w:w="200"/>
              <w:bottom w:type="dxa" w:w="140"/>
              <w:right w:type="dxa" w:w="200"/>
            </w:tcMar>
          </w:tcPr>
          <w:p>
            <w:pPr>
              <w:spacing w:after="60"/>
            </w:pPr>
            <w:r>
              <w:rPr>
                <w:rFonts w:ascii="Jost" w:cs="Jost" w:eastAsia="Jost" w:hAnsi="Jost"/>
                <w:b/>
                <w:bCs/>
                <w:color w:val="A9822A"/>
                <w:sz w:val="17"/>
                <w:szCs w:val="17"/>
              </w:rPr>
              <w:t xml:space="preserve">ADDITIONAL APPLICABLE GUIDANCE</w:t>
            </w:r>
          </w:p>
          <w:p>
            <w:r>
              <w:rPr>
                <w:rFonts w:ascii="Jost" w:cs="Jost" w:eastAsia="Jost" w:hAnsi="Jost"/>
                <w:color w:val="1B2233"/>
                <w:sz w:val="21"/>
                <w:szCs w:val="21"/>
              </w:rPr>
              <w:t xml:space="preserve">This framework is supplemented, as applicable, by: EDPB Guidelines (e.g., 03/2020 on health data for scientific research), national implementing data protection laws of relevant EU/EEA Member States, the EU-U.S. Data Privacy Framework and other Commission adequacy decisions, ISO 14155 (medical device trials), CDISC standards, and Aurelyn AI Clinical's internal Data Privacy &amp; Protection Policy (SOP PRI-001).</w:t>
            </w:r>
          </w:p>
        </w:tc>
      </w:tr>
    </w:tbl>
    <w:p>
      <w:pPr>
        <w:pStyle w:val="Heading1"/>
        <w:pBdr>
          <w:bottom w:val="single" w:color="0F9E8E" w:sz="8" w:space="6"/>
        </w:pBdr>
        <w:spacing w:after="200" w:before="400"/>
      </w:pPr>
      <w:r>
        <w:rPr>
          <w:rFonts w:ascii="Jost" w:cs="Jost" w:eastAsia="Jost" w:hAnsi="Jost"/>
          <w:b/>
          <w:bCs/>
          <w:color w:val="0F9E8E"/>
        </w:rPr>
        <w:t xml:space="preserve">6.  </w:t>
      </w:r>
      <w:r>
        <w:rPr>
          <w:rFonts w:ascii="Cormorant Garamond" w:cs="Cormorant Garamond" w:eastAsia="Cormorant Garamond" w:hAnsi="Cormorant Garamond"/>
          <w:b/>
          <w:bCs/>
          <w:color w:val="0A0E1C"/>
          <w:sz w:val="34"/>
          <w:szCs w:val="34"/>
        </w:rPr>
        <w:t xml:space="preserve">Policy Statement</w:t>
      </w:r>
    </w:p>
    <w:p>
      <w:pPr>
        <w:spacing w:after="140"/>
      </w:pPr>
      <w:r>
        <w:rPr>
          <w:rFonts w:ascii="Jost" w:cs="Jost" w:eastAsia="Jost" w:hAnsi="Jost"/>
          <w:color w:val="1B2233"/>
          <w:sz w:val="21"/>
          <w:szCs w:val="21"/>
        </w:rPr>
        <w:t xml:space="preserve">Aurelyn AI Clinical requires that all processing of clinical trial personal data — whether performed directly, through the Aurelyn Trial | OS™ platform, or by contracted third parties — adhere at all times to the seven principles of Art. 5 GDPR, plus Privacy by Design and by Default (Art. 25):</w:t>
      </w:r>
    </w:p>
    <w:p>
      <w:pPr>
        <w:pStyle w:val="ListParagraph"/>
        <w:numPr>
          <w:ilvl w:val="0"/>
          <w:numId w:val="2"/>
        </w:numPr>
        <w:spacing w:after="80"/>
      </w:pPr>
      <w:r>
        <w:rPr>
          <w:rFonts w:ascii="Jost" w:cs="Jost" w:eastAsia="Jost" w:hAnsi="Jost"/>
          <w:color w:val="1B2233"/>
          <w:sz w:val="21"/>
          <w:szCs w:val="21"/>
        </w:rPr>
        <w:t xml:space="preserve">Lawfulness, Fairness &amp; Transparency</w:t>
      </w:r>
    </w:p>
    <w:p>
      <w:pPr>
        <w:pStyle w:val="ListParagraph"/>
        <w:numPr>
          <w:ilvl w:val="0"/>
          <w:numId w:val="2"/>
        </w:numPr>
        <w:spacing w:after="80"/>
      </w:pPr>
      <w:r>
        <w:rPr>
          <w:rFonts w:ascii="Jost" w:cs="Jost" w:eastAsia="Jost" w:hAnsi="Jost"/>
          <w:color w:val="1B2233"/>
          <w:sz w:val="21"/>
          <w:szCs w:val="21"/>
        </w:rPr>
        <w:t xml:space="preserve">Purpose Limitation</w:t>
      </w:r>
    </w:p>
    <w:p>
      <w:pPr>
        <w:pStyle w:val="ListParagraph"/>
        <w:numPr>
          <w:ilvl w:val="0"/>
          <w:numId w:val="2"/>
        </w:numPr>
        <w:spacing w:after="80"/>
      </w:pPr>
      <w:r>
        <w:rPr>
          <w:rFonts w:ascii="Jost" w:cs="Jost" w:eastAsia="Jost" w:hAnsi="Jost"/>
          <w:color w:val="1B2233"/>
          <w:sz w:val="21"/>
          <w:szCs w:val="21"/>
        </w:rPr>
        <w:t xml:space="preserve">Data Minimization</w:t>
      </w:r>
    </w:p>
    <w:p>
      <w:pPr>
        <w:pStyle w:val="ListParagraph"/>
        <w:numPr>
          <w:ilvl w:val="0"/>
          <w:numId w:val="2"/>
        </w:numPr>
        <w:spacing w:after="80"/>
      </w:pPr>
      <w:r>
        <w:rPr>
          <w:rFonts w:ascii="Jost" w:cs="Jost" w:eastAsia="Jost" w:hAnsi="Jost"/>
          <w:color w:val="1B2233"/>
          <w:sz w:val="21"/>
          <w:szCs w:val="21"/>
        </w:rPr>
        <w:t xml:space="preserve">Accuracy</w:t>
      </w:r>
    </w:p>
    <w:p>
      <w:pPr>
        <w:pStyle w:val="ListParagraph"/>
        <w:numPr>
          <w:ilvl w:val="0"/>
          <w:numId w:val="2"/>
        </w:numPr>
        <w:spacing w:after="80"/>
      </w:pPr>
      <w:r>
        <w:rPr>
          <w:rFonts w:ascii="Jost" w:cs="Jost" w:eastAsia="Jost" w:hAnsi="Jost"/>
          <w:color w:val="1B2233"/>
          <w:sz w:val="21"/>
          <w:szCs w:val="21"/>
        </w:rPr>
        <w:t xml:space="preserve">Storage Limitation</w:t>
      </w:r>
    </w:p>
    <w:p>
      <w:pPr>
        <w:pStyle w:val="ListParagraph"/>
        <w:numPr>
          <w:ilvl w:val="0"/>
          <w:numId w:val="2"/>
        </w:numPr>
        <w:spacing w:after="80"/>
      </w:pPr>
      <w:r>
        <w:rPr>
          <w:rFonts w:ascii="Jost" w:cs="Jost" w:eastAsia="Jost" w:hAnsi="Jost"/>
          <w:color w:val="1B2233"/>
          <w:sz w:val="21"/>
          <w:szCs w:val="21"/>
        </w:rPr>
        <w:t xml:space="preserve">Integrity &amp; Confidentiality</w:t>
      </w:r>
    </w:p>
    <w:p>
      <w:pPr>
        <w:pStyle w:val="ListParagraph"/>
        <w:numPr>
          <w:ilvl w:val="0"/>
          <w:numId w:val="2"/>
        </w:numPr>
        <w:spacing w:after="80"/>
      </w:pPr>
      <w:r>
        <w:rPr>
          <w:rFonts w:ascii="Jost" w:cs="Jost" w:eastAsia="Jost" w:hAnsi="Jost"/>
          <w:color w:val="1B2233"/>
          <w:sz w:val="21"/>
          <w:szCs w:val="21"/>
        </w:rPr>
        <w:t xml:space="preserve">Accountability</w:t>
      </w:r>
    </w:p>
    <w:p>
      <w:pPr>
        <w:spacing w:after="140"/>
      </w:pPr>
      <w:r>
        <w:rPr>
          <w:rFonts w:ascii="Jost" w:cs="Jost" w:eastAsia="Jost" w:hAnsi="Jost"/>
          <w:color w:val="1B2233"/>
          <w:sz w:val="21"/>
          <w:szCs w:val="21"/>
        </w:rPr>
        <w:t xml:space="preserve">No process, protocol, technology (including AI-assisted features of Aurelyn Clinical Engines™), or vendor arrangement may be implemented that conflicts with these principles or with applicable FDA/EMA obligations. Exceptions require documented, DPO-approved risk acceptance.</w:t>
      </w:r>
    </w:p>
    <w:p>
      <w:pPr>
        <w:pStyle w:val="Heading1"/>
        <w:pBdr>
          <w:bottom w:val="single" w:color="0F9E8E" w:sz="8" w:space="6"/>
        </w:pBdr>
        <w:spacing w:after="200" w:before="400"/>
      </w:pPr>
      <w:r>
        <w:rPr>
          <w:rFonts w:ascii="Jost" w:cs="Jost" w:eastAsia="Jost" w:hAnsi="Jost"/>
          <w:b/>
          <w:bCs/>
          <w:color w:val="0F9E8E"/>
        </w:rPr>
        <w:t xml:space="preserve">7.  </w:t>
      </w:r>
      <w:r>
        <w:rPr>
          <w:rFonts w:ascii="Cormorant Garamond" w:cs="Cormorant Garamond" w:eastAsia="Cormorant Garamond" w:hAnsi="Cormorant Garamond"/>
          <w:b/>
          <w:bCs/>
          <w:color w:val="0A0E1C"/>
          <w:sz w:val="34"/>
          <w:szCs w:val="34"/>
        </w:rPr>
        <w:t xml:space="preserve">Procedure</w:t>
      </w:r>
    </w:p>
    <w:p>
      <w:pPr>
        <w:spacing w:after="140"/>
      </w:pPr>
      <w:r>
        <w:rPr>
          <w:rFonts w:ascii="Jost" w:cs="Jost" w:eastAsia="Jost" w:hAnsi="Jost"/>
          <w:color w:val="1B2233"/>
          <w:sz w:val="21"/>
          <w:szCs w:val="21"/>
        </w:rPr>
        <w:t xml:space="preserve">The following sub-procedures must be followed sequentially at study start-up and revisited at each protocol amendment, new vendor engagement, or material change to data flows.</w:t>
      </w:r>
    </w:p>
    <w:p>
      <w:pPr>
        <w:pStyle w:val="Heading2"/>
        <w:spacing w:after="120" w:before="260"/>
      </w:pPr>
      <w:r>
        <w:rPr>
          <w:rFonts w:ascii="Cormorant Garamond" w:cs="Cormorant Garamond" w:eastAsia="Cormorant Garamond" w:hAnsi="Cormorant Garamond"/>
          <w:b/>
          <w:bCs/>
          <w:color w:val="6D4FC7"/>
          <w:sz w:val="27"/>
          <w:szCs w:val="27"/>
        </w:rPr>
        <w:t xml:space="preserve">7.1  Determine Roles &amp; Applicability</w:t>
      </w:r>
    </w:p>
    <w:p>
      <w:pPr>
        <w:spacing w:after="140"/>
      </w:pPr>
      <w:r>
        <w:rPr>
          <w:rFonts w:ascii="Jost" w:cs="Jost" w:eastAsia="Jost" w:hAnsi="Jost"/>
          <w:color w:val="1B2233"/>
          <w:sz w:val="21"/>
          <w:szCs w:val="21"/>
        </w:rPr>
        <w:t xml:space="preserve">At protocol concept stage, the Clinical Project Manager, with DPO support, must document each party's GDPR role:</w:t>
      </w:r>
    </w:p>
    <w:p>
      <w:pPr>
        <w:pStyle w:val="ListParagraph"/>
        <w:numPr>
          <w:ilvl w:val="0"/>
          <w:numId w:val="2"/>
        </w:numPr>
        <w:spacing w:after="80"/>
      </w:pPr>
      <w:r>
        <w:rPr>
          <w:rFonts w:ascii="Jost" w:cs="Jost" w:eastAsia="Jost" w:hAnsi="Jost"/>
          <w:b/>
          <w:bCs/>
          <w:color w:val="0A0E1C"/>
          <w:sz w:val="21"/>
          <w:szCs w:val="21"/>
        </w:rPr>
        <w:t xml:space="preserve">Sponsor </w:t>
      </w:r>
      <w:r>
        <w:rPr>
          <w:rFonts w:ascii="Jost" w:cs="Jost" w:eastAsia="Jost" w:hAnsi="Jost"/>
          <w:color w:val="1B2233"/>
          <w:sz w:val="21"/>
          <w:szCs w:val="21"/>
        </w:rPr>
        <w:t xml:space="preserve">— ordinarily sole or joint Controller, determining trial purpose and design.</w:t>
      </w:r>
    </w:p>
    <w:p>
      <w:pPr>
        <w:pStyle w:val="ListParagraph"/>
        <w:numPr>
          <w:ilvl w:val="0"/>
          <w:numId w:val="2"/>
        </w:numPr>
        <w:spacing w:after="80"/>
      </w:pPr>
      <w:r>
        <w:rPr>
          <w:rFonts w:ascii="Jost" w:cs="Jost" w:eastAsia="Jost" w:hAnsi="Jost"/>
          <w:b/>
          <w:bCs/>
          <w:color w:val="0A0E1C"/>
          <w:sz w:val="21"/>
          <w:szCs w:val="21"/>
        </w:rPr>
        <w:t xml:space="preserve">Investigator Site </w:t>
      </w:r>
      <w:r>
        <w:rPr>
          <w:rFonts w:ascii="Jost" w:cs="Jost" w:eastAsia="Jost" w:hAnsi="Jost"/>
          <w:color w:val="1B2233"/>
          <w:sz w:val="21"/>
          <w:szCs w:val="21"/>
        </w:rPr>
        <w:t xml:space="preserve">— typically an independent Controller for source data collection and consent, or joint Controller with the Sponsor depending on Member State interpretation.</w:t>
      </w:r>
    </w:p>
    <w:p>
      <w:pPr>
        <w:pStyle w:val="ListParagraph"/>
        <w:numPr>
          <w:ilvl w:val="0"/>
          <w:numId w:val="2"/>
        </w:numPr>
        <w:spacing w:after="80"/>
      </w:pPr>
      <w:r>
        <w:rPr>
          <w:rFonts w:ascii="Jost" w:cs="Jost" w:eastAsia="Jost" w:hAnsi="Jost"/>
          <w:b/>
          <w:bCs/>
          <w:color w:val="0A0E1C"/>
          <w:sz w:val="21"/>
          <w:szCs w:val="21"/>
        </w:rPr>
        <w:t xml:space="preserve">CRO / eTMF / IRT / Safety Database Vendors, and Aurelyn Trial | OS™ </w:t>
      </w:r>
      <w:r>
        <w:rPr>
          <w:rFonts w:ascii="Jost" w:cs="Jost" w:eastAsia="Jost" w:hAnsi="Jost"/>
          <w:color w:val="1B2233"/>
          <w:sz w:val="21"/>
          <w:szCs w:val="21"/>
        </w:rPr>
        <w:t xml:space="preserve">— Processors, acting only on documented Sponsor instructions.</w:t>
      </w:r>
    </w:p>
    <w:p>
      <w:pPr>
        <w:spacing w:after="140"/>
      </w:pPr>
      <w:r>
        <w:rPr>
          <w:rFonts w:ascii="Jost" w:cs="Jost" w:eastAsia="Jost" w:hAnsi="Jost"/>
          <w:color w:val="1B2233"/>
          <w:sz w:val="21"/>
          <w:szCs w:val="21"/>
        </w:rPr>
        <w:t xml:space="preserve">The determination is recorded in the study-level ROPA entry (Section 8) and drives which downstream controls apply.</w:t>
      </w:r>
    </w:p>
    <w:p>
      <w:pPr>
        <w:pStyle w:val="Heading2"/>
        <w:spacing w:after="120" w:before="260"/>
      </w:pPr>
      <w:r>
        <w:rPr>
          <w:rFonts w:ascii="Cormorant Garamond" w:cs="Cormorant Garamond" w:eastAsia="Cormorant Garamond" w:hAnsi="Cormorant Garamond"/>
          <w:b/>
          <w:bCs/>
          <w:color w:val="6D4FC7"/>
          <w:sz w:val="27"/>
          <w:szCs w:val="27"/>
        </w:rPr>
        <w:t xml:space="preserve">7.2  Establish the Legal Basis for Processing</w:t>
      </w:r>
    </w:p>
    <w:p>
      <w:pPr>
        <w:spacing w:after="140"/>
      </w:pPr>
      <w:r>
        <w:rPr>
          <w:rFonts w:ascii="Jost" w:cs="Jost" w:eastAsia="Jost" w:hAnsi="Jost"/>
          <w:color w:val="1B2233"/>
          <w:sz w:val="21"/>
          <w:szCs w:val="21"/>
        </w:rPr>
        <w:t xml:space="preserve">Two layers of legal basis are required for special category clinical trial data:</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2500"/>
        <w:gridCol w:w="3000"/>
        <w:gridCol w:w="3850"/>
      </w:tblGrid>
      <w:tr>
        <w:trPr>
          <w:tblHeader/>
        </w:trPr>
        <w:tc>
          <w:tcPr>
            <w:tcW w:type="dxa" w:w="25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Layer</w:t>
            </w:r>
          </w:p>
        </w:tc>
        <w:tc>
          <w:tcPr>
            <w:tcW w:type="dxa" w:w="30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Preferred Basis</w:t>
            </w:r>
          </w:p>
        </w:tc>
        <w:tc>
          <w:tcPr>
            <w:tcW w:type="dxa" w:w="38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Application Note</w:t>
            </w:r>
          </w:p>
        </w:tc>
      </w:tr>
      <w:tr>
        <w:tc>
          <w:tcPr>
            <w:tcW w:type="dxa" w:w="2500"/>
            <w:tcMar>
              <w:top w:type="dxa" w:w="90"/>
              <w:left w:type="dxa" w:w="110"/>
              <w:bottom w:type="dxa" w:w="90"/>
              <w:right w:type="dxa" w:w="110"/>
            </w:tcMar>
            <w:vAlign w:val="top"/>
          </w:tcPr>
          <w:p>
            <w:r>
              <w:rPr>
                <w:rFonts w:ascii="Jost" w:cs="Jost" w:eastAsia="Jost" w:hAnsi="Jost"/>
                <w:color w:val="1B2233"/>
                <w:sz w:val="21"/>
                <w:szCs w:val="21"/>
              </w:rPr>
              <w:t xml:space="preserve">Art. 6(1) — General</w:t>
            </w:r>
          </w:p>
        </w:tc>
        <w:tc>
          <w:tcPr>
            <w:tcW w:type="dxa" w:w="3000"/>
            <w:tcMar>
              <w:top w:type="dxa" w:w="90"/>
              <w:left w:type="dxa" w:w="110"/>
              <w:bottom w:type="dxa" w:w="90"/>
              <w:right w:type="dxa" w:w="110"/>
            </w:tcMar>
            <w:vAlign w:val="top"/>
          </w:tcPr>
          <w:p>
            <w:r>
              <w:rPr>
                <w:rFonts w:ascii="Jost" w:cs="Jost" w:eastAsia="Jost" w:hAnsi="Jost"/>
                <w:color w:val="1B2233"/>
                <w:sz w:val="21"/>
                <w:szCs w:val="21"/>
              </w:rPr>
              <w:t xml:space="preserve">Art. 6(1)(e) Public interest task, or Art. 6(1)(f) Legitimate interest</w:t>
            </w:r>
          </w:p>
        </w:tc>
        <w:tc>
          <w:tcPr>
            <w:tcW w:type="dxa" w:w="3850"/>
            <w:tcMar>
              <w:top w:type="dxa" w:w="90"/>
              <w:left w:type="dxa" w:w="110"/>
              <w:bottom w:type="dxa" w:w="90"/>
              <w:right w:type="dxa" w:w="110"/>
            </w:tcMar>
            <w:vAlign w:val="top"/>
          </w:tcPr>
          <w:p>
            <w:r>
              <w:rPr>
                <w:rFonts w:ascii="Jost" w:cs="Jost" w:eastAsia="Jost" w:hAnsi="Jost"/>
                <w:color w:val="1B2233"/>
                <w:sz w:val="21"/>
                <w:szCs w:val="21"/>
              </w:rPr>
              <w:t xml:space="preserve">Preferred over consent to avoid conflicts if a participant later withdraws consent to participate while previously collected data must be retained for scientific/regulatory integrity.</w:t>
            </w:r>
          </w:p>
        </w:tc>
      </w:tr>
      <w:tr>
        <w:tc>
          <w:tcPr>
            <w:tcW w:type="dxa" w:w="2500"/>
            <w:shd w:fill="F3F5FA" w:val="clear"/>
            <w:tcMar>
              <w:top w:type="dxa" w:w="90"/>
              <w:left w:type="dxa" w:w="110"/>
              <w:bottom w:type="dxa" w:w="90"/>
              <w:right w:type="dxa" w:w="110"/>
            </w:tcMar>
            <w:vAlign w:val="top"/>
          </w:tcPr>
          <w:p>
            <w:r>
              <w:rPr>
                <w:rFonts w:ascii="Jost" w:cs="Jost" w:eastAsia="Jost" w:hAnsi="Jost"/>
                <w:color w:val="1B2233"/>
                <w:sz w:val="21"/>
                <w:szCs w:val="21"/>
              </w:rPr>
              <w:t xml:space="preserve">Art. 9(2) — Special Category</w:t>
            </w:r>
          </w:p>
        </w:tc>
        <w:tc>
          <w:tcPr>
            <w:tcW w:type="dxa" w:w="3000"/>
            <w:shd w:fill="F3F5FA" w:val="clear"/>
            <w:tcMar>
              <w:top w:type="dxa" w:w="90"/>
              <w:left w:type="dxa" w:w="110"/>
              <w:bottom w:type="dxa" w:w="90"/>
              <w:right w:type="dxa" w:w="110"/>
            </w:tcMar>
            <w:vAlign w:val="top"/>
          </w:tcPr>
          <w:p>
            <w:r>
              <w:rPr>
                <w:rFonts w:ascii="Jost" w:cs="Jost" w:eastAsia="Jost" w:hAnsi="Jost"/>
                <w:color w:val="1B2233"/>
                <w:sz w:val="21"/>
                <w:szCs w:val="21"/>
              </w:rPr>
              <w:t xml:space="preserve">Art. 9(2)(j) Scientific research (with Art. 89(1) safeguards), or Art. 9(2)(i) Public health</w:t>
            </w:r>
          </w:p>
        </w:tc>
        <w:tc>
          <w:tcPr>
            <w:tcW w:type="dxa" w:w="3850"/>
            <w:shd w:fill="F3F5FA" w:val="clear"/>
            <w:tcMar>
              <w:top w:type="dxa" w:w="90"/>
              <w:left w:type="dxa" w:w="110"/>
              <w:bottom w:type="dxa" w:w="90"/>
              <w:right w:type="dxa" w:w="110"/>
            </w:tcMar>
            <w:vAlign w:val="top"/>
          </w:tcPr>
          <w:p>
            <w:r>
              <w:rPr>
                <w:rFonts w:ascii="Jost" w:cs="Jost" w:eastAsia="Jost" w:hAnsi="Jost"/>
                <w:color w:val="1B2233"/>
                <w:sz w:val="21"/>
                <w:szCs w:val="21"/>
              </w:rPr>
              <w:t xml:space="preserve">Member State law may additionally require an Art. 9(2)(a) explicit consent layer — confirm local requirement before finalizing consent documents.</w:t>
            </w:r>
          </w:p>
        </w:tc>
      </w:tr>
    </w:tbl>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9350"/>
      </w:tblGrid>
      <w:tr>
        <w:tc>
          <w:tcPr>
            <w:tcBorders>
              <w:top w:val="single" w:color="D8DCE8" w:sz="2"/>
              <w:left w:val="single" w:color="C0472B" w:sz="24"/>
              <w:bottom w:val="single" w:color="D8DCE8" w:sz="2"/>
              <w:right w:val="single" w:color="D8DCE8" w:sz="2"/>
            </w:tcBorders>
            <w:shd w:fill="F5F6FB" w:val="clear"/>
            <w:tcMar>
              <w:top w:type="dxa" w:w="140"/>
              <w:left w:type="dxa" w:w="200"/>
              <w:bottom w:type="dxa" w:w="140"/>
              <w:right w:type="dxa" w:w="200"/>
            </w:tcMar>
          </w:tcPr>
          <w:p>
            <w:pPr>
              <w:spacing w:after="60"/>
            </w:pPr>
            <w:r>
              <w:rPr>
                <w:rFonts w:ascii="Jost" w:cs="Jost" w:eastAsia="Jost" w:hAnsi="Jost"/>
                <w:b/>
                <w:bCs/>
                <w:color w:val="C0472B"/>
                <w:sz w:val="17"/>
                <w:szCs w:val="17"/>
              </w:rPr>
              <w:t xml:space="preserve">COMMON PITFALL</w:t>
            </w:r>
          </w:p>
          <w:p>
            <w:r>
              <w:rPr>
                <w:rFonts w:ascii="Jost" w:cs="Jost" w:eastAsia="Jost" w:hAnsi="Jost"/>
                <w:color w:val="1B2233"/>
                <w:sz w:val="21"/>
                <w:szCs w:val="21"/>
              </w:rPr>
              <w:t xml:space="preserve">Do not rely on GDPR consent as the sole lawful basis for research data processing. Withdrawal of GDPR consent can trigger erasure obligations that are operationally incompatible with data integrity requirements of ICH E6(R3) and 21 CFR Part 312. Informed consent under 21 CFR Part 50 / ICH E6(R3) remains mandatory for study participation but is a separate instrument from the GDPR legal basis for data processing.</w:t>
            </w:r>
          </w:p>
        </w:tc>
      </w:tr>
    </w:tbl>
    <w:p>
      <w:pPr>
        <w:pStyle w:val="Heading2"/>
        <w:spacing w:after="120" w:before="260"/>
      </w:pPr>
      <w:r>
        <w:rPr>
          <w:rFonts w:ascii="Cormorant Garamond" w:cs="Cormorant Garamond" w:eastAsia="Cormorant Garamond" w:hAnsi="Cormorant Garamond"/>
          <w:b/>
          <w:bCs/>
          <w:color w:val="6D4FC7"/>
          <w:sz w:val="27"/>
          <w:szCs w:val="27"/>
        </w:rPr>
        <w:t xml:space="preserve">7.3  Privacy by Design and by Default (Art. 25)</w:t>
      </w:r>
    </w:p>
    <w:p>
      <w:pPr>
        <w:pStyle w:val="ListParagraph"/>
        <w:numPr>
          <w:ilvl w:val="0"/>
          <w:numId w:val="2"/>
        </w:numPr>
        <w:spacing w:after="80"/>
      </w:pPr>
      <w:r>
        <w:rPr>
          <w:rFonts w:ascii="Jost" w:cs="Jost" w:eastAsia="Jost" w:hAnsi="Jost"/>
          <w:color w:val="1B2233"/>
          <w:sz w:val="21"/>
          <w:szCs w:val="21"/>
        </w:rPr>
        <w:t xml:space="preserve">Pseudonymize participant identity at first point of capture using subject ID codes; the re-identification key is held only by the investigator site under restricted access.</w:t>
      </w:r>
    </w:p>
    <w:p>
      <w:pPr>
        <w:pStyle w:val="ListParagraph"/>
        <w:numPr>
          <w:ilvl w:val="0"/>
          <w:numId w:val="2"/>
        </w:numPr>
        <w:spacing w:after="80"/>
      </w:pPr>
      <w:r>
        <w:rPr>
          <w:rFonts w:ascii="Jost" w:cs="Jost" w:eastAsia="Jost" w:hAnsi="Jost"/>
          <w:color w:val="1B2233"/>
          <w:sz w:val="21"/>
          <w:szCs w:val="21"/>
        </w:rPr>
        <w:t xml:space="preserve">Apply role-based access control (RBAC) within Aurelyn Trial | OS™ so users see only the minimum data set needed for their function.</w:t>
      </w:r>
    </w:p>
    <w:p>
      <w:pPr>
        <w:pStyle w:val="ListParagraph"/>
        <w:numPr>
          <w:ilvl w:val="0"/>
          <w:numId w:val="2"/>
        </w:numPr>
        <w:spacing w:after="80"/>
      </w:pPr>
      <w:r>
        <w:rPr>
          <w:rFonts w:ascii="Jost" w:cs="Jost" w:eastAsia="Jost" w:hAnsi="Jost"/>
          <w:color w:val="1B2233"/>
          <w:sz w:val="21"/>
          <w:szCs w:val="21"/>
        </w:rPr>
        <w:t xml:space="preserve">Design eCRFs and Clinical Engines™ inputs to exclude direct identifiers wherever indirect/coded identifiers suffice.</w:t>
      </w:r>
    </w:p>
    <w:p>
      <w:pPr>
        <w:pStyle w:val="ListParagraph"/>
        <w:numPr>
          <w:ilvl w:val="0"/>
          <w:numId w:val="2"/>
        </w:numPr>
        <w:spacing w:after="80"/>
      </w:pPr>
      <w:r>
        <w:rPr>
          <w:rFonts w:ascii="Jost" w:cs="Jost" w:eastAsia="Jost" w:hAnsi="Jost"/>
          <w:color w:val="1B2233"/>
          <w:sz w:val="21"/>
          <w:szCs w:val="21"/>
        </w:rPr>
        <w:t xml:space="preserve">Default all new platform modules to the most privacy-protective configuration.</w:t>
      </w:r>
    </w:p>
    <w:p>
      <w:pPr>
        <w:pStyle w:val="Heading2"/>
        <w:spacing w:after="120" w:before="260"/>
      </w:pPr>
      <w:r>
        <w:rPr>
          <w:rFonts w:ascii="Cormorant Garamond" w:cs="Cormorant Garamond" w:eastAsia="Cormorant Garamond" w:hAnsi="Cormorant Garamond"/>
          <w:b/>
          <w:bCs/>
          <w:color w:val="6D4FC7"/>
          <w:sz w:val="27"/>
          <w:szCs w:val="27"/>
        </w:rPr>
        <w:t xml:space="preserve">7.4  Conduct a Data Protection Impact Assessment (Art. 35)</w:t>
      </w:r>
    </w:p>
    <w:p>
      <w:pPr>
        <w:spacing w:after="140"/>
      </w:pPr>
      <w:r>
        <w:rPr>
          <w:rFonts w:ascii="Jost" w:cs="Jost" w:eastAsia="Jost" w:hAnsi="Jost"/>
          <w:color w:val="1B2233"/>
          <w:sz w:val="21"/>
          <w:szCs w:val="21"/>
        </w:rPr>
        <w:t xml:space="preserve">A DPIA is mandatory before processing begins whenever any trigger in Appendix B is met — including, by default, essentially all interventional trials processing special category health data at scale, and any use of AI-assisted features that produce automated outputs influencing participant management. The DPIA is drafted by the Clinical Project Manager, reviewed and approved by the DPO, and — where residual risk remains high after mitigation — submitted for prior consultation with the competent Supervisory Authority (Art. 36).</w:t>
      </w:r>
    </w:p>
    <w:p>
      <w:pPr>
        <w:pStyle w:val="Heading2"/>
        <w:spacing w:after="120" w:before="260"/>
      </w:pPr>
      <w:r>
        <w:rPr>
          <w:rFonts w:ascii="Cormorant Garamond" w:cs="Cormorant Garamond" w:eastAsia="Cormorant Garamond" w:hAnsi="Cormorant Garamond"/>
          <w:b/>
          <w:bCs/>
          <w:color w:val="6D4FC7"/>
          <w:sz w:val="27"/>
          <w:szCs w:val="27"/>
        </w:rPr>
        <w:t xml:space="preserve">7.5  Consent Forms &amp; Transparency Notices</w:t>
      </w:r>
    </w:p>
    <w:p>
      <w:pPr>
        <w:spacing w:after="140"/>
      </w:pPr>
      <w:r>
        <w:rPr>
          <w:rFonts w:ascii="Jost" w:cs="Jost" w:eastAsia="Jost" w:hAnsi="Jost"/>
          <w:color w:val="1B2233"/>
          <w:sz w:val="21"/>
          <w:szCs w:val="21"/>
        </w:rPr>
        <w:t xml:space="preserve">Maintain two distinct documents, cross-referenced but not merged:</w:t>
      </w:r>
    </w:p>
    <w:p>
      <w:pPr>
        <w:pStyle w:val="ListParagraph"/>
        <w:numPr>
          <w:ilvl w:val="0"/>
          <w:numId w:val="2"/>
        </w:numPr>
        <w:spacing w:after="80"/>
      </w:pPr>
      <w:r>
        <w:rPr>
          <w:rFonts w:ascii="Jost" w:cs="Jost" w:eastAsia="Jost" w:hAnsi="Jost"/>
          <w:b/>
          <w:bCs/>
          <w:color w:val="0A0E1C"/>
          <w:sz w:val="21"/>
          <w:szCs w:val="21"/>
        </w:rPr>
        <w:t xml:space="preserve">Informed Consent Form </w:t>
      </w:r>
      <w:r>
        <w:rPr>
          <w:rFonts w:ascii="Jost" w:cs="Jost" w:eastAsia="Jost" w:hAnsi="Jost"/>
          <w:color w:val="1B2233"/>
          <w:sz w:val="21"/>
          <w:szCs w:val="21"/>
        </w:rPr>
        <w:t xml:space="preserve">— 21 CFR 50 / ICH E6(R3): participation, risks, benefits, voluntariness.</w:t>
      </w:r>
    </w:p>
    <w:p>
      <w:pPr>
        <w:pStyle w:val="ListParagraph"/>
        <w:numPr>
          <w:ilvl w:val="0"/>
          <w:numId w:val="2"/>
        </w:numPr>
        <w:spacing w:after="80"/>
      </w:pPr>
      <w:r>
        <w:rPr>
          <w:rFonts w:ascii="Jost" w:cs="Jost" w:eastAsia="Jost" w:hAnsi="Jost"/>
          <w:b/>
          <w:bCs/>
          <w:color w:val="0A0E1C"/>
          <w:sz w:val="21"/>
          <w:szCs w:val="21"/>
        </w:rPr>
        <w:t xml:space="preserve">GDPR Privacy / Transparency Notice </w:t>
      </w:r>
      <w:r>
        <w:rPr>
          <w:rFonts w:ascii="Jost" w:cs="Jost" w:eastAsia="Jost" w:hAnsi="Jost"/>
          <w:color w:val="1B2233"/>
          <w:sz w:val="21"/>
          <w:szCs w:val="21"/>
        </w:rPr>
        <w:t xml:space="preserve">— Art. 13/14: identity of controller, purposes, legal basis, retention, transfers, rights.</w:t>
      </w:r>
    </w:p>
    <w:p>
      <w:pPr>
        <w:pStyle w:val="ListParagraph"/>
        <w:numPr>
          <w:ilvl w:val="0"/>
          <w:numId w:val="2"/>
        </w:numPr>
        <w:spacing w:after="80"/>
      </w:pPr>
      <w:r>
        <w:rPr>
          <w:rFonts w:ascii="Jost" w:cs="Jost" w:eastAsia="Jost" w:hAnsi="Jost"/>
          <w:b/>
          <w:bCs/>
          <w:color w:val="0A0E1C"/>
          <w:sz w:val="21"/>
          <w:szCs w:val="21"/>
        </w:rPr>
        <w:t xml:space="preserve">Combined Participant Pack </w:t>
      </w:r>
      <w:r>
        <w:rPr>
          <w:rFonts w:ascii="Jost" w:cs="Jost" w:eastAsia="Jost" w:hAnsi="Jost"/>
          <w:color w:val="1B2233"/>
          <w:sz w:val="21"/>
          <w:szCs w:val="21"/>
        </w:rPr>
        <w:t xml:space="preserve">— delivered together at consent visit; each retained as a distinct, IRB/EC and DPO-approved artifact.</w:t>
      </w:r>
    </w:p>
    <w:p>
      <w:pPr>
        <w:spacing w:after="140"/>
      </w:pPr>
      <w:r>
        <w:rPr>
          <w:rFonts w:ascii="Jost" w:cs="Jost" w:eastAsia="Jost" w:hAnsi="Jost"/>
          <w:color w:val="1B2233"/>
          <w:sz w:val="21"/>
          <w:szCs w:val="21"/>
        </w:rPr>
        <w:t xml:space="preserve">Per Recital 33 and Art. 17(3)(d), withdrawal of participation does not require erasure of data already lawfully collected where retention is necessary for scientific research or archiving purposes with Art. 89(1) safeguards; the transparency notice must state this explicitly.</w:t>
      </w:r>
    </w:p>
    <w:p>
      <w:pPr>
        <w:pStyle w:val="Heading2"/>
        <w:spacing w:after="120" w:before="260"/>
      </w:pPr>
      <w:r>
        <w:rPr>
          <w:rFonts w:ascii="Cormorant Garamond" w:cs="Cormorant Garamond" w:eastAsia="Cormorant Garamond" w:hAnsi="Cormorant Garamond"/>
          <w:b/>
          <w:bCs/>
          <w:color w:val="6D4FC7"/>
          <w:sz w:val="27"/>
          <w:szCs w:val="27"/>
        </w:rPr>
        <w:t xml:space="preserve">7.6  Managing Data Subject Rights</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2200"/>
        <w:gridCol w:w="3600"/>
        <w:gridCol w:w="3550"/>
      </w:tblGrid>
      <w:tr>
        <w:trPr>
          <w:tblHeader/>
        </w:trPr>
        <w:tc>
          <w:tcPr>
            <w:tcW w:type="dxa" w:w="22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Right (Article)</w:t>
            </w:r>
          </w:p>
        </w:tc>
        <w:tc>
          <w:tcPr>
            <w:tcW w:type="dxa" w:w="36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Trial-Context Application</w:t>
            </w:r>
          </w:p>
        </w:tc>
        <w:tc>
          <w:tcPr>
            <w:tcW w:type="dxa" w:w="35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Limitation</w:t>
            </w:r>
          </w:p>
        </w:tc>
      </w:tr>
      <w:tr>
        <w:tc>
          <w:tcPr>
            <w:tcW w:type="dxa" w:w="2200"/>
            <w:tcMar>
              <w:top w:type="dxa" w:w="90"/>
              <w:left w:type="dxa" w:w="110"/>
              <w:bottom w:type="dxa" w:w="90"/>
              <w:right w:type="dxa" w:w="110"/>
            </w:tcMar>
            <w:vAlign w:val="top"/>
          </w:tcPr>
          <w:p>
            <w:r>
              <w:rPr>
                <w:rFonts w:ascii="Jost" w:cs="Jost" w:eastAsia="Jost" w:hAnsi="Jost"/>
                <w:color w:val="1B2233"/>
                <w:sz w:val="21"/>
                <w:szCs w:val="21"/>
              </w:rPr>
              <w:t xml:space="preserve">Access (Art. 15)</w:t>
            </w:r>
          </w:p>
        </w:tc>
        <w:tc>
          <w:tcPr>
            <w:tcW w:type="dxa" w:w="3600"/>
            <w:tcMar>
              <w:top w:type="dxa" w:w="90"/>
              <w:left w:type="dxa" w:w="110"/>
              <w:bottom w:type="dxa" w:w="90"/>
              <w:right w:type="dxa" w:w="110"/>
            </w:tcMar>
            <w:vAlign w:val="top"/>
          </w:tcPr>
          <w:p>
            <w:r>
              <w:rPr>
                <w:rFonts w:ascii="Jost" w:cs="Jost" w:eastAsia="Jost" w:hAnsi="Jost"/>
                <w:color w:val="1B2233"/>
                <w:sz w:val="21"/>
                <w:szCs w:val="21"/>
              </w:rPr>
              <w:t xml:space="preserve">Confirmation of processing and a copy of personal data.</w:t>
            </w:r>
          </w:p>
        </w:tc>
        <w:tc>
          <w:tcPr>
            <w:tcW w:type="dxa" w:w="3550"/>
            <w:tcMar>
              <w:top w:type="dxa" w:w="90"/>
              <w:left w:type="dxa" w:w="110"/>
              <w:bottom w:type="dxa" w:w="90"/>
              <w:right w:type="dxa" w:w="110"/>
            </w:tcMar>
            <w:vAlign w:val="top"/>
          </w:tcPr>
          <w:p>
            <w:r>
              <w:rPr>
                <w:rFonts w:ascii="Jost" w:cs="Jost" w:eastAsia="Jost" w:hAnsi="Jost"/>
                <w:color w:val="1B2233"/>
                <w:sz w:val="21"/>
                <w:szCs w:val="21"/>
              </w:rPr>
              <w:t xml:space="preserve">May be restricted where disclosure would unblind treatment allocation.</w:t>
            </w:r>
          </w:p>
        </w:tc>
      </w:tr>
      <w:tr>
        <w:tc>
          <w:tcPr>
            <w:tcW w:type="dxa" w:w="2200"/>
            <w:shd w:fill="F3F5FA" w:val="clear"/>
            <w:tcMar>
              <w:top w:type="dxa" w:w="90"/>
              <w:left w:type="dxa" w:w="110"/>
              <w:bottom w:type="dxa" w:w="90"/>
              <w:right w:type="dxa" w:w="110"/>
            </w:tcMar>
            <w:vAlign w:val="top"/>
          </w:tcPr>
          <w:p>
            <w:r>
              <w:rPr>
                <w:rFonts w:ascii="Jost" w:cs="Jost" w:eastAsia="Jost" w:hAnsi="Jost"/>
                <w:color w:val="1B2233"/>
                <w:sz w:val="21"/>
                <w:szCs w:val="21"/>
              </w:rPr>
              <w:t xml:space="preserve">Rectification (Art. 16)</w:t>
            </w:r>
          </w:p>
        </w:tc>
        <w:tc>
          <w:tcPr>
            <w:tcW w:type="dxa" w:w="3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Correction of inaccurate personal data.</w:t>
            </w:r>
          </w:p>
        </w:tc>
        <w:tc>
          <w:tcPr>
            <w:tcW w:type="dxa" w:w="35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Corrections to locked eCRF data go through formal query/audit-trail process, not silent edit.</w:t>
            </w:r>
          </w:p>
        </w:tc>
      </w:tr>
      <w:tr>
        <w:tc>
          <w:tcPr>
            <w:tcW w:type="dxa" w:w="2200"/>
            <w:tcMar>
              <w:top w:type="dxa" w:w="90"/>
              <w:left w:type="dxa" w:w="110"/>
              <w:bottom w:type="dxa" w:w="90"/>
              <w:right w:type="dxa" w:w="110"/>
            </w:tcMar>
            <w:vAlign w:val="top"/>
          </w:tcPr>
          <w:p>
            <w:r>
              <w:rPr>
                <w:rFonts w:ascii="Jost" w:cs="Jost" w:eastAsia="Jost" w:hAnsi="Jost"/>
                <w:color w:val="1B2233"/>
                <w:sz w:val="21"/>
                <w:szCs w:val="21"/>
              </w:rPr>
              <w:t xml:space="preserve">Erasure (Art. 17)</w:t>
            </w:r>
          </w:p>
        </w:tc>
        <w:tc>
          <w:tcPr>
            <w:tcW w:type="dxa" w:w="3600"/>
            <w:tcMar>
              <w:top w:type="dxa" w:w="90"/>
              <w:left w:type="dxa" w:w="110"/>
              <w:bottom w:type="dxa" w:w="90"/>
              <w:right w:type="dxa" w:w="110"/>
            </w:tcMar>
            <w:vAlign w:val="top"/>
          </w:tcPr>
          <w:p>
            <w:r>
              <w:rPr>
                <w:rFonts w:ascii="Jost" w:cs="Jost" w:eastAsia="Jost" w:hAnsi="Jost"/>
                <w:color w:val="1B2233"/>
                <w:sz w:val="21"/>
                <w:szCs w:val="21"/>
              </w:rPr>
              <w:t xml:space="preserve">“Right to be forgotten.”</w:t>
            </w:r>
          </w:p>
        </w:tc>
        <w:tc>
          <w:tcPr>
            <w:tcW w:type="dxa" w:w="3550"/>
            <w:tcMar>
              <w:top w:type="dxa" w:w="90"/>
              <w:left w:type="dxa" w:w="110"/>
              <w:bottom w:type="dxa" w:w="90"/>
              <w:right w:type="dxa" w:w="110"/>
            </w:tcMar>
            <w:vAlign w:val="top"/>
          </w:tcPr>
          <w:p>
            <w:r>
              <w:rPr>
                <w:rFonts w:ascii="Jost" w:cs="Jost" w:eastAsia="Jost" w:hAnsi="Jost"/>
                <w:color w:val="1B2233"/>
                <w:sz w:val="21"/>
                <w:szCs w:val="21"/>
              </w:rPr>
              <w:t xml:space="preserve">Does not apply where processing is necessary for legal obligation or archiving/scientific research purposes (Art. 17(3)(b),(d)).</w:t>
            </w:r>
          </w:p>
        </w:tc>
      </w:tr>
      <w:tr>
        <w:tc>
          <w:tcPr>
            <w:tcW w:type="dxa" w:w="2200"/>
            <w:shd w:fill="F3F5FA" w:val="clear"/>
            <w:tcMar>
              <w:top w:type="dxa" w:w="90"/>
              <w:left w:type="dxa" w:w="110"/>
              <w:bottom w:type="dxa" w:w="90"/>
              <w:right w:type="dxa" w:w="110"/>
            </w:tcMar>
            <w:vAlign w:val="top"/>
          </w:tcPr>
          <w:p>
            <w:r>
              <w:rPr>
                <w:rFonts w:ascii="Jost" w:cs="Jost" w:eastAsia="Jost" w:hAnsi="Jost"/>
                <w:color w:val="1B2233"/>
                <w:sz w:val="21"/>
                <w:szCs w:val="21"/>
              </w:rPr>
              <w:t xml:space="preserve">Restriction (Art. 18)</w:t>
            </w:r>
          </w:p>
        </w:tc>
        <w:tc>
          <w:tcPr>
            <w:tcW w:type="dxa" w:w="3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Temporary restriction pending accuracy dispute resolution.</w:t>
            </w:r>
          </w:p>
        </w:tc>
        <w:tc>
          <w:tcPr>
            <w:tcW w:type="dxa" w:w="3550"/>
            <w:shd w:fill="F3F5FA" w:val="clear"/>
            <w:tcMar>
              <w:top w:type="dxa" w:w="90"/>
              <w:left w:type="dxa" w:w="110"/>
              <w:bottom w:type="dxa" w:w="90"/>
              <w:right w:type="dxa" w:w="110"/>
            </w:tcMar>
            <w:vAlign w:val="top"/>
          </w:tcPr>
          <w:p>
            <w:r>
              <w:rPr>
                <w:rFonts w:ascii="Jost" w:cs="Jost" w:eastAsia="Jost" w:hAnsi="Jost"/>
                <w:color w:val="1B2233"/>
                <w:sz w:val="21"/>
                <w:szCs w:val="21"/>
              </w:rPr>
              <w:t xml:space="preserve">Must not compromise ongoing safety monitoring obligations.</w:t>
            </w:r>
          </w:p>
        </w:tc>
      </w:tr>
      <w:tr>
        <w:tc>
          <w:tcPr>
            <w:tcW w:type="dxa" w:w="2200"/>
            <w:tcMar>
              <w:top w:type="dxa" w:w="90"/>
              <w:left w:type="dxa" w:w="110"/>
              <w:bottom w:type="dxa" w:w="90"/>
              <w:right w:type="dxa" w:w="110"/>
            </w:tcMar>
            <w:vAlign w:val="top"/>
          </w:tcPr>
          <w:p>
            <w:r>
              <w:rPr>
                <w:rFonts w:ascii="Jost" w:cs="Jost" w:eastAsia="Jost" w:hAnsi="Jost"/>
                <w:color w:val="1B2233"/>
                <w:sz w:val="21"/>
                <w:szCs w:val="21"/>
              </w:rPr>
              <w:t xml:space="preserve">Objection (Art. 21)</w:t>
            </w:r>
          </w:p>
        </w:tc>
        <w:tc>
          <w:tcPr>
            <w:tcW w:type="dxa" w:w="3600"/>
            <w:tcMar>
              <w:top w:type="dxa" w:w="90"/>
              <w:left w:type="dxa" w:w="110"/>
              <w:bottom w:type="dxa" w:w="90"/>
              <w:right w:type="dxa" w:w="110"/>
            </w:tcMar>
            <w:vAlign w:val="top"/>
          </w:tcPr>
          <w:p>
            <w:r>
              <w:rPr>
                <w:rFonts w:ascii="Jost" w:cs="Jost" w:eastAsia="Jost" w:hAnsi="Jost"/>
                <w:color w:val="1B2233"/>
                <w:sz w:val="21"/>
                <w:szCs w:val="21"/>
              </w:rPr>
              <w:t xml:space="preserve">Objection to processing based on Art. 6(1)(e)/(f).</w:t>
            </w:r>
          </w:p>
        </w:tc>
        <w:tc>
          <w:tcPr>
            <w:tcW w:type="dxa" w:w="3550"/>
            <w:tcMar>
              <w:top w:type="dxa" w:w="90"/>
              <w:left w:type="dxa" w:w="110"/>
              <w:bottom w:type="dxa" w:w="90"/>
              <w:right w:type="dxa" w:w="110"/>
            </w:tcMar>
            <w:vAlign w:val="top"/>
          </w:tcPr>
          <w:p>
            <w:r>
              <w:rPr>
                <w:rFonts w:ascii="Jost" w:cs="Jost" w:eastAsia="Jost" w:hAnsi="Jost"/>
                <w:color w:val="1B2233"/>
                <w:sz w:val="21"/>
                <w:szCs w:val="21"/>
              </w:rPr>
              <w:t xml:space="preserve">May be overridden by compelling legitimate grounds or public interest research necessity (Art. 21(6)).</w:t>
            </w:r>
          </w:p>
        </w:tc>
      </w:tr>
      <w:tr>
        <w:tc>
          <w:tcPr>
            <w:tcW w:type="dxa" w:w="2200"/>
            <w:shd w:fill="F3F5FA" w:val="clear"/>
            <w:tcMar>
              <w:top w:type="dxa" w:w="90"/>
              <w:left w:type="dxa" w:w="110"/>
              <w:bottom w:type="dxa" w:w="90"/>
              <w:right w:type="dxa" w:w="110"/>
            </w:tcMar>
            <w:vAlign w:val="top"/>
          </w:tcPr>
          <w:p>
            <w:r>
              <w:rPr>
                <w:rFonts w:ascii="Jost" w:cs="Jost" w:eastAsia="Jost" w:hAnsi="Jost"/>
                <w:color w:val="1B2233"/>
                <w:sz w:val="21"/>
                <w:szCs w:val="21"/>
              </w:rPr>
              <w:t xml:space="preserve">Portability (Art. 20)</w:t>
            </w:r>
          </w:p>
        </w:tc>
        <w:tc>
          <w:tcPr>
            <w:tcW w:type="dxa" w:w="3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Generally inapplicable in trial contexts.</w:t>
            </w:r>
          </w:p>
        </w:tc>
        <w:tc>
          <w:tcPr>
            <w:tcW w:type="dxa" w:w="35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Confirm case-by-case with DPO.</w:t>
            </w:r>
          </w:p>
        </w:tc>
      </w:tr>
    </w:tbl>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9350"/>
      </w:tblGrid>
      <w:tr>
        <w:tc>
          <w:tcPr>
            <w:tcBorders>
              <w:top w:val="single" w:color="D8DCE8" w:sz="2"/>
              <w:left w:val="single" w:color="C0472B" w:sz="24"/>
              <w:bottom w:val="single" w:color="D8DCE8" w:sz="2"/>
              <w:right w:val="single" w:color="D8DCE8" w:sz="2"/>
            </w:tcBorders>
            <w:shd w:fill="F5F6FB" w:val="clear"/>
            <w:tcMar>
              <w:top w:type="dxa" w:w="140"/>
              <w:left w:type="dxa" w:w="200"/>
              <w:bottom w:type="dxa" w:w="140"/>
              <w:right w:type="dxa" w:w="200"/>
            </w:tcMar>
          </w:tcPr>
          <w:p>
            <w:pPr>
              <w:spacing w:after="60"/>
            </w:pPr>
            <w:r>
              <w:rPr>
                <w:rFonts w:ascii="Jost" w:cs="Jost" w:eastAsia="Jost" w:hAnsi="Jost"/>
                <w:b/>
                <w:bCs/>
                <w:color w:val="C0472B"/>
                <w:sz w:val="17"/>
                <w:szCs w:val="17"/>
              </w:rPr>
              <w:t xml:space="preserve">BLINDED STUDY REQUIREMENT</w:t>
            </w:r>
          </w:p>
          <w:p>
            <w:r>
              <w:rPr>
                <w:rFonts w:ascii="Jost" w:cs="Jost" w:eastAsia="Jost" w:hAnsi="Jost"/>
                <w:color w:val="1B2233"/>
                <w:sz w:val="21"/>
                <w:szCs w:val="21"/>
              </w:rPr>
              <w:t xml:space="preserve">All data subject rights requests must be routed to the DPO and Principal Investigator before any response is issued. No site or vendor staff may unblind treatment assignment to fulfil a rights request.</w:t>
            </w:r>
          </w:p>
        </w:tc>
      </w:tr>
    </w:tbl>
    <w:p>
      <w:pPr>
        <w:spacing w:after="140"/>
      </w:pPr>
      <w:r>
        <w:rPr>
          <w:rFonts w:ascii="Jost" w:cs="Jost" w:eastAsia="Jost" w:hAnsi="Jost"/>
          <w:b/>
          <w:bCs/>
          <w:color w:val="0A0E1C"/>
          <w:sz w:val="21"/>
          <w:szCs w:val="21"/>
        </w:rPr>
        <w:t xml:space="preserve">Response timeline: </w:t>
      </w:r>
      <w:r>
        <w:rPr>
          <w:rFonts w:ascii="Jost" w:cs="Jost" w:eastAsia="Jost" w:hAnsi="Jost"/>
          <w:color w:val="1B2233"/>
          <w:sz w:val="21"/>
          <w:szCs w:val="21"/>
        </w:rPr>
        <w:t xml:space="preserve">Requests must be acknowledged within 5 business days and substantively resolved within 1 calendar month of receipt (extendable by two further months for complex requests) (Art. 12(3)).</w:t>
      </w:r>
    </w:p>
    <w:p>
      <w:pPr>
        <w:pStyle w:val="Heading2"/>
        <w:spacing w:after="120" w:before="260"/>
      </w:pPr>
      <w:r>
        <w:rPr>
          <w:rFonts w:ascii="Cormorant Garamond" w:cs="Cormorant Garamond" w:eastAsia="Cormorant Garamond" w:hAnsi="Cormorant Garamond"/>
          <w:b/>
          <w:bCs/>
          <w:color w:val="6D4FC7"/>
          <w:sz w:val="27"/>
          <w:szCs w:val="27"/>
        </w:rPr>
        <w:t xml:space="preserve">7.7  International Data Transfers (Chapter V)</w:t>
      </w:r>
    </w:p>
    <w:p>
      <w:pPr>
        <w:spacing w:after="140"/>
      </w:pPr>
      <w:r>
        <w:rPr>
          <w:rFonts w:ascii="Jost" w:cs="Jost" w:eastAsia="Jost" w:hAnsi="Jost"/>
          <w:color w:val="1B2233"/>
          <w:sz w:val="21"/>
          <w:szCs w:val="21"/>
        </w:rPr>
        <w:t xml:space="preserve">Any transfer of personal data outside the EU/EEA — including to Aurelyn AI Clinical's US infrastructure, a US-based Sponsor, or FDA submission packages — requires a documented lawful transfer mechanism before data leaves the EU/EEA:</w:t>
      </w:r>
    </w:p>
    <w:p>
      <w:pPr>
        <w:pStyle w:val="ListParagraph"/>
        <w:numPr>
          <w:ilvl w:val="0"/>
          <w:numId w:val="2"/>
        </w:numPr>
        <w:spacing w:after="80"/>
      </w:pPr>
      <w:r>
        <w:rPr>
          <w:rFonts w:ascii="Jost" w:cs="Jost" w:eastAsia="Jost" w:hAnsi="Jost"/>
          <w:b/>
          <w:bCs/>
          <w:color w:val="0A0E1C"/>
          <w:sz w:val="21"/>
          <w:szCs w:val="21"/>
        </w:rPr>
        <w:t xml:space="preserve">Step 1 — Adequacy Decision? </w:t>
      </w:r>
      <w:r>
        <w:rPr>
          <w:rFonts w:ascii="Jost" w:cs="Jost" w:eastAsia="Jost" w:hAnsi="Jost"/>
          <w:color w:val="1B2233"/>
          <w:sz w:val="21"/>
          <w:szCs w:val="21"/>
        </w:rPr>
        <w:t xml:space="preserve">Check the European Commission's current adequacy list (including the EU–U.S. Data Privacy Framework).</w:t>
      </w:r>
    </w:p>
    <w:p>
      <w:pPr>
        <w:pStyle w:val="ListParagraph"/>
        <w:numPr>
          <w:ilvl w:val="0"/>
          <w:numId w:val="2"/>
        </w:numPr>
        <w:spacing w:after="80"/>
      </w:pPr>
      <w:r>
        <w:rPr>
          <w:rFonts w:ascii="Jost" w:cs="Jost" w:eastAsia="Jost" w:hAnsi="Jost"/>
          <w:b/>
          <w:bCs/>
          <w:color w:val="0A0E1C"/>
          <w:sz w:val="21"/>
          <w:szCs w:val="21"/>
        </w:rPr>
        <w:t xml:space="preserve">Step 2 — Standard Contractual Clauses </w:t>
      </w:r>
      <w:r>
        <w:rPr>
          <w:rFonts w:ascii="Jost" w:cs="Jost" w:eastAsia="Jost" w:hAnsi="Jost"/>
          <w:color w:val="1B2233"/>
          <w:sz w:val="21"/>
          <w:szCs w:val="21"/>
        </w:rPr>
        <w:t xml:space="preserve">If no adequacy decision applies, execute the 2021 modular SCCs matching the Controller/Processor configuration.</w:t>
      </w:r>
    </w:p>
    <w:p>
      <w:pPr>
        <w:pStyle w:val="ListParagraph"/>
        <w:numPr>
          <w:ilvl w:val="0"/>
          <w:numId w:val="2"/>
        </w:numPr>
        <w:spacing w:after="80"/>
      </w:pPr>
      <w:r>
        <w:rPr>
          <w:rFonts w:ascii="Jost" w:cs="Jost" w:eastAsia="Jost" w:hAnsi="Jost"/>
          <w:b/>
          <w:bCs/>
          <w:color w:val="0A0E1C"/>
          <w:sz w:val="21"/>
          <w:szCs w:val="21"/>
        </w:rPr>
        <w:t xml:space="preserve">Step 3 — Transfer Impact Assessment </w:t>
      </w:r>
      <w:r>
        <w:rPr>
          <w:rFonts w:ascii="Jost" w:cs="Jost" w:eastAsia="Jost" w:hAnsi="Jost"/>
          <w:color w:val="1B2233"/>
          <w:sz w:val="21"/>
          <w:szCs w:val="21"/>
        </w:rPr>
        <w:t xml:space="preserve">Conduct a Transfer Risk Assessment (post-Schrems II) evaluating destination-country law and supplementary measures.</w:t>
      </w:r>
    </w:p>
    <w:p>
      <w:pPr>
        <w:pStyle w:val="ListParagraph"/>
        <w:numPr>
          <w:ilvl w:val="0"/>
          <w:numId w:val="2"/>
        </w:numPr>
        <w:spacing w:after="80"/>
      </w:pPr>
      <w:r>
        <w:rPr>
          <w:rFonts w:ascii="Jost" w:cs="Jost" w:eastAsia="Jost" w:hAnsi="Jost"/>
          <w:b/>
          <w:bCs/>
          <w:color w:val="0A0E1C"/>
          <w:sz w:val="21"/>
          <w:szCs w:val="21"/>
        </w:rPr>
        <w:t xml:space="preserve">Step 4 — Art. 49 Derogation </w:t>
      </w:r>
      <w:r>
        <w:rPr>
          <w:rFonts w:ascii="Jost" w:cs="Jost" w:eastAsia="Jost" w:hAnsi="Jost"/>
          <w:color w:val="1B2233"/>
          <w:sz w:val="21"/>
          <w:szCs w:val="21"/>
        </w:rPr>
        <w:t xml:space="preserve">Reserved for exceptional, non-repetitive transfers (e.g., explicit consent, important public-interest reasons).</w:t>
      </w:r>
    </w:p>
    <w:p>
      <w:pPr>
        <w:spacing w:after="140"/>
      </w:pPr>
      <w:r>
        <w:rPr>
          <w:rFonts w:ascii="Jost" w:cs="Jost" w:eastAsia="Jost" w:hAnsi="Jost"/>
          <w:color w:val="1B2233"/>
          <w:sz w:val="21"/>
          <w:szCs w:val="21"/>
        </w:rPr>
        <w:t xml:space="preserve">See Appendix D for the full decision tree used at protocol start-up and vendor onboarding.</w:t>
      </w:r>
    </w:p>
    <w:p>
      <w:pPr>
        <w:pStyle w:val="Heading2"/>
        <w:spacing w:after="120" w:before="260"/>
      </w:pPr>
      <w:r>
        <w:rPr>
          <w:rFonts w:ascii="Cormorant Garamond" w:cs="Cormorant Garamond" w:eastAsia="Cormorant Garamond" w:hAnsi="Cormorant Garamond"/>
          <w:b/>
          <w:bCs/>
          <w:color w:val="6D4FC7"/>
          <w:sz w:val="27"/>
          <w:szCs w:val="27"/>
        </w:rPr>
        <w:t xml:space="preserve">7.8  Data Processing Agreements (Art. 28)</w:t>
      </w:r>
    </w:p>
    <w:p>
      <w:pPr>
        <w:spacing w:after="140"/>
      </w:pPr>
      <w:r>
        <w:rPr>
          <w:rFonts w:ascii="Jost" w:cs="Jost" w:eastAsia="Jost" w:hAnsi="Jost"/>
          <w:color w:val="1B2233"/>
          <w:sz w:val="21"/>
          <w:szCs w:val="21"/>
        </w:rPr>
        <w:t xml:space="preserve">A written Data Processing Agreement (“DPA”) is mandatory with every processor and sub-processor before any personal data is shared. At minimum, each DPA must specify:</w:t>
      </w:r>
    </w:p>
    <w:p>
      <w:pPr>
        <w:pStyle w:val="ListParagraph"/>
        <w:numPr>
          <w:ilvl w:val="0"/>
          <w:numId w:val="2"/>
        </w:numPr>
        <w:spacing w:after="80"/>
      </w:pPr>
      <w:r>
        <w:rPr>
          <w:rFonts w:ascii="Jost" w:cs="Jost" w:eastAsia="Jost" w:hAnsi="Jost"/>
          <w:color w:val="1B2233"/>
          <w:sz w:val="21"/>
          <w:szCs w:val="21"/>
        </w:rPr>
        <w:t xml:space="preserve">Subject matter, duration, nature and purpose of processing, and categories of data/data subjects.</w:t>
      </w:r>
    </w:p>
    <w:p>
      <w:pPr>
        <w:pStyle w:val="ListParagraph"/>
        <w:numPr>
          <w:ilvl w:val="0"/>
          <w:numId w:val="2"/>
        </w:numPr>
        <w:spacing w:after="80"/>
      </w:pPr>
      <w:r>
        <w:rPr>
          <w:rFonts w:ascii="Jost" w:cs="Jost" w:eastAsia="Jost" w:hAnsi="Jost"/>
          <w:color w:val="1B2233"/>
          <w:sz w:val="21"/>
          <w:szCs w:val="21"/>
        </w:rPr>
        <w:t xml:space="preserve">Obligation to process only on documented Controller instructions (Art. 28(3)(a)).</w:t>
      </w:r>
    </w:p>
    <w:p>
      <w:pPr>
        <w:pStyle w:val="ListParagraph"/>
        <w:numPr>
          <w:ilvl w:val="0"/>
          <w:numId w:val="2"/>
        </w:numPr>
        <w:spacing w:after="80"/>
      </w:pPr>
      <w:r>
        <w:rPr>
          <w:rFonts w:ascii="Jost" w:cs="Jost" w:eastAsia="Jost" w:hAnsi="Jost"/>
          <w:color w:val="1B2233"/>
          <w:sz w:val="21"/>
          <w:szCs w:val="21"/>
        </w:rPr>
        <w:t xml:space="preserve">Confidentiality commitments for authorized personnel.</w:t>
      </w:r>
    </w:p>
    <w:p>
      <w:pPr>
        <w:pStyle w:val="ListParagraph"/>
        <w:numPr>
          <w:ilvl w:val="0"/>
          <w:numId w:val="2"/>
        </w:numPr>
        <w:spacing w:after="80"/>
      </w:pPr>
      <w:r>
        <w:rPr>
          <w:rFonts w:ascii="Jost" w:cs="Jost" w:eastAsia="Jost" w:hAnsi="Jost"/>
          <w:color w:val="1B2233"/>
          <w:sz w:val="21"/>
          <w:szCs w:val="21"/>
        </w:rPr>
        <w:t xml:space="preserve">Technical and organizational security measures (Art. 32).</w:t>
      </w:r>
    </w:p>
    <w:p>
      <w:pPr>
        <w:pStyle w:val="ListParagraph"/>
        <w:numPr>
          <w:ilvl w:val="0"/>
          <w:numId w:val="2"/>
        </w:numPr>
        <w:spacing w:after="80"/>
      </w:pPr>
      <w:r>
        <w:rPr>
          <w:rFonts w:ascii="Jost" w:cs="Jost" w:eastAsia="Jost" w:hAnsi="Jost"/>
          <w:color w:val="1B2233"/>
          <w:sz w:val="21"/>
          <w:szCs w:val="21"/>
        </w:rPr>
        <w:t xml:space="preserve">Sub-processor authorization mechanism.</w:t>
      </w:r>
    </w:p>
    <w:p>
      <w:pPr>
        <w:pStyle w:val="ListParagraph"/>
        <w:numPr>
          <w:ilvl w:val="0"/>
          <w:numId w:val="2"/>
        </w:numPr>
        <w:spacing w:after="80"/>
      </w:pPr>
      <w:r>
        <w:rPr>
          <w:rFonts w:ascii="Jost" w:cs="Jost" w:eastAsia="Jost" w:hAnsi="Jost"/>
          <w:color w:val="1B2233"/>
          <w:sz w:val="21"/>
          <w:szCs w:val="21"/>
        </w:rPr>
        <w:t xml:space="preserve">Assistance obligations for data subject rights, DPIAs, and breach notification.</w:t>
      </w:r>
    </w:p>
    <w:p>
      <w:pPr>
        <w:pStyle w:val="ListParagraph"/>
        <w:numPr>
          <w:ilvl w:val="0"/>
          <w:numId w:val="2"/>
        </w:numPr>
        <w:spacing w:after="80"/>
      </w:pPr>
      <w:r>
        <w:rPr>
          <w:rFonts w:ascii="Jost" w:cs="Jost" w:eastAsia="Jost" w:hAnsi="Jost"/>
          <w:color w:val="1B2233"/>
          <w:sz w:val="21"/>
          <w:szCs w:val="21"/>
        </w:rPr>
        <w:t xml:space="preserve">Return/deletion of data at end of engagement, subject to regulatory retention overrides.</w:t>
      </w:r>
    </w:p>
    <w:p>
      <w:pPr>
        <w:pStyle w:val="ListParagraph"/>
        <w:numPr>
          <w:ilvl w:val="0"/>
          <w:numId w:val="2"/>
        </w:numPr>
        <w:spacing w:after="80"/>
      </w:pPr>
      <w:r>
        <w:rPr>
          <w:rFonts w:ascii="Jost" w:cs="Jost" w:eastAsia="Jost" w:hAnsi="Jost"/>
          <w:color w:val="1B2233"/>
          <w:sz w:val="21"/>
          <w:szCs w:val="21"/>
        </w:rPr>
        <w:t xml:space="preserve">Audit rights for the Controller/DPO.</w:t>
      </w:r>
    </w:p>
    <w:p>
      <w:pPr>
        <w:pStyle w:val="Heading2"/>
        <w:spacing w:after="120" w:before="260"/>
      </w:pPr>
      <w:r>
        <w:rPr>
          <w:rFonts w:ascii="Cormorant Garamond" w:cs="Cormorant Garamond" w:eastAsia="Cormorant Garamond" w:hAnsi="Cormorant Garamond"/>
          <w:b/>
          <w:bCs/>
          <w:color w:val="6D4FC7"/>
          <w:sz w:val="27"/>
          <w:szCs w:val="27"/>
        </w:rPr>
        <w:t xml:space="preserve">7.9  Security of Processing (Art. 32)</w:t>
      </w:r>
    </w:p>
    <w:p>
      <w:pPr>
        <w:spacing w:after="140"/>
      </w:pPr>
      <w:r>
        <w:rPr>
          <w:rFonts w:ascii="Jost" w:cs="Jost" w:eastAsia="Jost" w:hAnsi="Jost"/>
          <w:color w:val="1B2233"/>
          <w:sz w:val="21"/>
          <w:szCs w:val="21"/>
        </w:rPr>
        <w:t xml:space="preserve">Technical and organizational measures implemented across the Aurelyn Trial | OS™ platform and required of all processors include: AES-256 encryption at rest, TLS 1.2+ in transit, role-based least-privilege access control, and a 21 CFR Part 11-aligned audit trail and e-signature integrity framework. Security measures are periodically tested (penetration testing, access reviews, business continuity/disaster recovery exercises) and documented for both GDPR Art. 32 and 21 CFR Part 11 requirements simultaneously.</w:t>
      </w:r>
    </w:p>
    <w:p>
      <w:pPr>
        <w:pStyle w:val="Heading2"/>
        <w:spacing w:after="120" w:before="260"/>
      </w:pPr>
      <w:r>
        <w:rPr>
          <w:rFonts w:ascii="Cormorant Garamond" w:cs="Cormorant Garamond" w:eastAsia="Cormorant Garamond" w:hAnsi="Cormorant Garamond"/>
          <w:b/>
          <w:bCs/>
          <w:color w:val="6D4FC7"/>
          <w:sz w:val="27"/>
          <w:szCs w:val="27"/>
        </w:rPr>
        <w:t xml:space="preserve">7.10  Personal Data Breach Management (Art. 33–34)</w:t>
      </w:r>
    </w:p>
    <w:p>
      <w:pPr>
        <w:spacing w:after="140"/>
      </w:pPr>
      <w:r>
        <w:rPr>
          <w:rFonts w:ascii="Jost" w:cs="Jost" w:eastAsia="Jost" w:hAnsi="Jost"/>
          <w:color w:val="1B2233"/>
          <w:sz w:val="21"/>
          <w:szCs w:val="21"/>
        </w:rPr>
        <w:t xml:space="preserve">Any suspected or confirmed personal data breach must be reported immediately to the DPO via the incident channel:</w:t>
      </w:r>
    </w:p>
    <w:p>
      <w:pPr>
        <w:pStyle w:val="ListParagraph"/>
        <w:numPr>
          <w:ilvl w:val="0"/>
          <w:numId w:val="2"/>
        </w:numPr>
        <w:spacing w:after="80"/>
      </w:pPr>
      <w:r>
        <w:rPr>
          <w:rFonts w:ascii="Jost" w:cs="Jost" w:eastAsia="Jost" w:hAnsi="Jost"/>
          <w:b/>
          <w:bCs/>
          <w:color w:val="0A0E1C"/>
          <w:sz w:val="21"/>
          <w:szCs w:val="21"/>
        </w:rPr>
        <w:t xml:space="preserve">0h — Detection: </w:t>
      </w:r>
      <w:r>
        <w:rPr>
          <w:rFonts w:ascii="Jost" w:cs="Jost" w:eastAsia="Jost" w:hAnsi="Jost"/>
          <w:color w:val="1B2233"/>
          <w:sz w:val="21"/>
          <w:szCs w:val="21"/>
        </w:rPr>
        <w:t xml:space="preserve">Site/vendor/platform detects and reports suspected breach to DPO.</w:t>
      </w:r>
    </w:p>
    <w:p>
      <w:pPr>
        <w:pStyle w:val="ListParagraph"/>
        <w:numPr>
          <w:ilvl w:val="0"/>
          <w:numId w:val="2"/>
        </w:numPr>
        <w:spacing w:after="80"/>
      </w:pPr>
      <w:r>
        <w:rPr>
          <w:rFonts w:ascii="Jost" w:cs="Jost" w:eastAsia="Jost" w:hAnsi="Jost"/>
          <w:b/>
          <w:bCs/>
          <w:color w:val="0A0E1C"/>
          <w:sz w:val="21"/>
          <w:szCs w:val="21"/>
        </w:rPr>
        <w:t xml:space="preserve">24h — Triage: </w:t>
      </w:r>
      <w:r>
        <w:rPr>
          <w:rFonts w:ascii="Jost" w:cs="Jost" w:eastAsia="Jost" w:hAnsi="Jost"/>
          <w:color w:val="1B2233"/>
          <w:sz w:val="21"/>
          <w:szCs w:val="21"/>
        </w:rPr>
        <w:t xml:space="preserve">DPO &amp; Security triage scope, cause, and affected data categories/subjects.</w:t>
      </w:r>
    </w:p>
    <w:p>
      <w:pPr>
        <w:pStyle w:val="ListParagraph"/>
        <w:numPr>
          <w:ilvl w:val="0"/>
          <w:numId w:val="2"/>
        </w:numPr>
        <w:spacing w:after="80"/>
      </w:pPr>
      <w:r>
        <w:rPr>
          <w:rFonts w:ascii="Jost" w:cs="Jost" w:eastAsia="Jost" w:hAnsi="Jost"/>
          <w:b/>
          <w:bCs/>
          <w:color w:val="0A0E1C"/>
          <w:sz w:val="21"/>
          <w:szCs w:val="21"/>
        </w:rPr>
        <w:t xml:space="preserve">72h — Authority Notice: </w:t>
      </w:r>
      <w:r>
        <w:rPr>
          <w:rFonts w:ascii="Jost" w:cs="Jost" w:eastAsia="Jost" w:hAnsi="Jost"/>
          <w:color w:val="1B2233"/>
          <w:sz w:val="21"/>
          <w:szCs w:val="21"/>
        </w:rPr>
        <w:t xml:space="preserve">Notify competent Supervisory Authority unless risk to rights/freedoms is unlikely (Art. 33).</w:t>
      </w:r>
    </w:p>
    <w:p>
      <w:pPr>
        <w:pStyle w:val="ListParagraph"/>
        <w:numPr>
          <w:ilvl w:val="0"/>
          <w:numId w:val="2"/>
        </w:numPr>
        <w:spacing w:after="80"/>
      </w:pPr>
      <w:r>
        <w:rPr>
          <w:rFonts w:ascii="Jost" w:cs="Jost" w:eastAsia="Jost" w:hAnsi="Jost"/>
          <w:b/>
          <w:bCs/>
          <w:color w:val="0A0E1C"/>
          <w:sz w:val="21"/>
          <w:szCs w:val="21"/>
        </w:rPr>
        <w:t xml:space="preserve">Without Undue Delay — Subject Notice: </w:t>
      </w:r>
      <w:r>
        <w:rPr>
          <w:rFonts w:ascii="Jost" w:cs="Jost" w:eastAsia="Jost" w:hAnsi="Jost"/>
          <w:color w:val="1B2233"/>
          <w:sz w:val="21"/>
          <w:szCs w:val="21"/>
        </w:rPr>
        <w:t xml:space="preserve">Notify affected data subjects if the breach is likely to result in a high risk (Art. 34).</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1600"/>
        <w:gridCol w:w="4200"/>
        <w:gridCol w:w="3550"/>
      </w:tblGrid>
      <w:tr>
        <w:trPr>
          <w:tblHeader/>
        </w:trPr>
        <w:tc>
          <w:tcPr>
            <w:tcW w:type="dxa" w:w="16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Severity</w:t>
            </w:r>
          </w:p>
        </w:tc>
        <w:tc>
          <w:tcPr>
            <w:tcW w:type="dxa" w:w="42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Criteria</w:t>
            </w:r>
          </w:p>
        </w:tc>
        <w:tc>
          <w:tcPr>
            <w:tcW w:type="dxa" w:w="35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Action</w:t>
            </w:r>
          </w:p>
        </w:tc>
      </w:tr>
      <w:tr>
        <w:tc>
          <w:tcPr>
            <w:tcW w:type="dxa" w:w="1600"/>
            <w:tcMar>
              <w:top w:type="dxa" w:w="90"/>
              <w:left w:type="dxa" w:w="110"/>
              <w:bottom w:type="dxa" w:w="90"/>
              <w:right w:type="dxa" w:w="110"/>
            </w:tcMar>
            <w:vAlign w:val="top"/>
          </w:tcPr>
          <w:p>
            <w:r>
              <w:rPr>
                <w:rFonts w:ascii="Jost" w:cs="Jost" w:eastAsia="Jost" w:hAnsi="Jost"/>
                <w:color w:val="1B2233"/>
                <w:sz w:val="21"/>
                <w:szCs w:val="21"/>
              </w:rPr>
              <w:t xml:space="preserve">Low</w:t>
            </w:r>
          </w:p>
        </w:tc>
        <w:tc>
          <w:tcPr>
            <w:tcW w:type="dxa" w:w="4200"/>
            <w:tcMar>
              <w:top w:type="dxa" w:w="90"/>
              <w:left w:type="dxa" w:w="110"/>
              <w:bottom w:type="dxa" w:w="90"/>
              <w:right w:type="dxa" w:w="110"/>
            </w:tcMar>
            <w:vAlign w:val="top"/>
          </w:tcPr>
          <w:p>
            <w:r>
              <w:rPr>
                <w:rFonts w:ascii="Jost" w:cs="Jost" w:eastAsia="Jost" w:hAnsi="Jost"/>
                <w:color w:val="1B2233"/>
                <w:sz w:val="21"/>
                <w:szCs w:val="21"/>
              </w:rPr>
              <w:t xml:space="preserve">Encrypted/pseudonymized data, low re-identification risk, no rights impact.</w:t>
            </w:r>
          </w:p>
        </w:tc>
        <w:tc>
          <w:tcPr>
            <w:tcW w:type="dxa" w:w="3550"/>
            <w:tcMar>
              <w:top w:type="dxa" w:w="90"/>
              <w:left w:type="dxa" w:w="110"/>
              <w:bottom w:type="dxa" w:w="90"/>
              <w:right w:type="dxa" w:w="110"/>
            </w:tcMar>
            <w:vAlign w:val="top"/>
          </w:tcPr>
          <w:p>
            <w:r>
              <w:rPr>
                <w:rFonts w:ascii="Jost" w:cs="Jost" w:eastAsia="Jost" w:hAnsi="Jost"/>
                <w:color w:val="1B2233"/>
                <w:sz w:val="21"/>
                <w:szCs w:val="21"/>
              </w:rPr>
              <w:t xml:space="preserve">Log internally; DPO review; no external notification required.</w:t>
            </w:r>
          </w:p>
        </w:tc>
      </w:tr>
      <w:tr>
        <w:tc>
          <w:tcPr>
            <w:tcW w:type="dxa" w:w="1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Moderate</w:t>
            </w:r>
          </w:p>
        </w:tc>
        <w:tc>
          <w:tcPr>
            <w:tcW w:type="dxa" w:w="4200"/>
            <w:shd w:fill="F3F5FA" w:val="clear"/>
            <w:tcMar>
              <w:top w:type="dxa" w:w="90"/>
              <w:left w:type="dxa" w:w="110"/>
              <w:bottom w:type="dxa" w:w="90"/>
              <w:right w:type="dxa" w:w="110"/>
            </w:tcMar>
            <w:vAlign w:val="top"/>
          </w:tcPr>
          <w:p>
            <w:r>
              <w:rPr>
                <w:rFonts w:ascii="Jost" w:cs="Jost" w:eastAsia="Jost" w:hAnsi="Jost"/>
                <w:color w:val="1B2233"/>
                <w:sz w:val="21"/>
                <w:szCs w:val="21"/>
              </w:rPr>
              <w:t xml:space="preserve">Unencrypted personal data exposed, limited scope, contained quickly.</w:t>
            </w:r>
          </w:p>
        </w:tc>
        <w:tc>
          <w:tcPr>
            <w:tcW w:type="dxa" w:w="3550"/>
            <w:shd w:fill="F3F5FA" w:val="clear"/>
            <w:tcMar>
              <w:top w:type="dxa" w:w="90"/>
              <w:left w:type="dxa" w:w="110"/>
              <w:bottom w:type="dxa" w:w="90"/>
              <w:right w:type="dxa" w:w="110"/>
            </w:tcMar>
            <w:vAlign w:val="top"/>
          </w:tcPr>
          <w:p>
            <w:r>
              <w:rPr>
                <w:rFonts w:ascii="Jost" w:cs="Jost" w:eastAsia="Jost" w:hAnsi="Jost"/>
                <w:color w:val="1B2233"/>
                <w:sz w:val="21"/>
                <w:szCs w:val="21"/>
              </w:rPr>
              <w:t xml:space="preserve">Supervisory Authority notification within 72 hours; internal CAPA opened.</w:t>
            </w:r>
          </w:p>
        </w:tc>
      </w:tr>
      <w:tr>
        <w:tc>
          <w:tcPr>
            <w:tcW w:type="dxa" w:w="1600"/>
            <w:tcMar>
              <w:top w:type="dxa" w:w="90"/>
              <w:left w:type="dxa" w:w="110"/>
              <w:bottom w:type="dxa" w:w="90"/>
              <w:right w:type="dxa" w:w="110"/>
            </w:tcMar>
            <w:vAlign w:val="top"/>
          </w:tcPr>
          <w:p>
            <w:r>
              <w:rPr>
                <w:rFonts w:ascii="Jost" w:cs="Jost" w:eastAsia="Jost" w:hAnsi="Jost"/>
                <w:color w:val="1B2233"/>
                <w:sz w:val="21"/>
                <w:szCs w:val="21"/>
              </w:rPr>
              <w:t xml:space="preserve">High</w:t>
            </w:r>
          </w:p>
        </w:tc>
        <w:tc>
          <w:tcPr>
            <w:tcW w:type="dxa" w:w="4200"/>
            <w:tcMar>
              <w:top w:type="dxa" w:w="90"/>
              <w:left w:type="dxa" w:w="110"/>
              <w:bottom w:type="dxa" w:w="90"/>
              <w:right w:type="dxa" w:w="110"/>
            </w:tcMar>
            <w:vAlign w:val="top"/>
          </w:tcPr>
          <w:p>
            <w:r>
              <w:rPr>
                <w:rFonts w:ascii="Jost" w:cs="Jost" w:eastAsia="Jost" w:hAnsi="Jost"/>
                <w:color w:val="1B2233"/>
                <w:sz w:val="21"/>
                <w:szCs w:val="21"/>
              </w:rPr>
              <w:t xml:space="preserve">Special category health data exposed at scale, or significant re-identification risk.</w:t>
            </w:r>
          </w:p>
        </w:tc>
        <w:tc>
          <w:tcPr>
            <w:tcW w:type="dxa" w:w="3550"/>
            <w:tcMar>
              <w:top w:type="dxa" w:w="90"/>
              <w:left w:type="dxa" w:w="110"/>
              <w:bottom w:type="dxa" w:w="90"/>
              <w:right w:type="dxa" w:w="110"/>
            </w:tcMar>
            <w:vAlign w:val="top"/>
          </w:tcPr>
          <w:p>
            <w:r>
              <w:rPr>
                <w:rFonts w:ascii="Jost" w:cs="Jost" w:eastAsia="Jost" w:hAnsi="Jost"/>
                <w:color w:val="1B2233"/>
                <w:sz w:val="21"/>
                <w:szCs w:val="21"/>
              </w:rPr>
              <w:t xml:space="preserve">Supervisory Authority + data subject notification; Sponsor/IRB notified; CAPA + root-cause analysis mandatory.</w:t>
            </w:r>
          </w:p>
        </w:tc>
      </w:tr>
    </w:tbl>
    <w:p>
      <w:pPr>
        <w:pStyle w:val="Heading2"/>
        <w:spacing w:after="120" w:before="260"/>
      </w:pPr>
      <w:r>
        <w:rPr>
          <w:rFonts w:ascii="Cormorant Garamond" w:cs="Cormorant Garamond" w:eastAsia="Cormorant Garamond" w:hAnsi="Cormorant Garamond"/>
          <w:b/>
          <w:bCs/>
          <w:color w:val="6D4FC7"/>
          <w:sz w:val="27"/>
          <w:szCs w:val="27"/>
        </w:rPr>
        <w:t xml:space="preserve">7.11  Records of Processing Activities (Art. 30)</w:t>
      </w:r>
    </w:p>
    <w:p>
      <w:pPr>
        <w:spacing w:after="140"/>
      </w:pPr>
      <w:r>
        <w:rPr>
          <w:rFonts w:ascii="Jost" w:cs="Jost" w:eastAsia="Jost" w:hAnsi="Jost"/>
          <w:color w:val="1B2233"/>
          <w:sz w:val="21"/>
          <w:szCs w:val="21"/>
        </w:rPr>
        <w:t xml:space="preserve">The DPO maintains a central ROPA covering every study and platform processing activity, including: purposes of processing, categories of data subjects and data, recipients (including third-country recipients), transfer safeguards, retention periods, and a general description of security measures. The ROPA is updated at study start-up, protocol amendment, and vendor change, and is reviewed at minimum annually.</w:t>
      </w:r>
    </w:p>
    <w:p>
      <w:pPr>
        <w:pStyle w:val="Heading2"/>
        <w:spacing w:after="120" w:before="260"/>
      </w:pPr>
      <w:r>
        <w:rPr>
          <w:rFonts w:ascii="Cormorant Garamond" w:cs="Cormorant Garamond" w:eastAsia="Cormorant Garamond" w:hAnsi="Cormorant Garamond"/>
          <w:b/>
          <w:bCs/>
          <w:color w:val="6D4FC7"/>
          <w:sz w:val="27"/>
          <w:szCs w:val="27"/>
        </w:rPr>
        <w:t xml:space="preserve">7.12  Data Retention &amp; Destruction</w:t>
      </w:r>
    </w:p>
    <w:p>
      <w:pPr>
        <w:spacing w:after="140"/>
      </w:pPr>
      <w:r>
        <w:rPr>
          <w:rFonts w:ascii="Jost" w:cs="Jost" w:eastAsia="Jost" w:hAnsi="Jost"/>
          <w:color w:val="1B2233"/>
          <w:sz w:val="21"/>
          <w:szCs w:val="21"/>
        </w:rPr>
        <w:t xml:space="preserve">GDPR's storage limitation principle (Art. 5(1)(e)) permits extended retention where data is processed for archiving in the public interest or scientific research purposes, subject to Art. 89(1) safeguards. This allows trial data to be retained per the longer of applicable regulatory retention periods (see Appendix C) without conflicting with GDPR, provided the retention schedule is documented and enforced.</w:t>
      </w:r>
    </w:p>
    <w:p>
      <w:pPr>
        <w:pStyle w:val="Heading2"/>
        <w:spacing w:after="120" w:before="260"/>
      </w:pPr>
      <w:r>
        <w:rPr>
          <w:rFonts w:ascii="Cormorant Garamond" w:cs="Cormorant Garamond" w:eastAsia="Cormorant Garamond" w:hAnsi="Cormorant Garamond"/>
          <w:b/>
          <w:bCs/>
          <w:color w:val="6D4FC7"/>
          <w:sz w:val="27"/>
          <w:szCs w:val="27"/>
        </w:rPr>
        <w:t xml:space="preserve">7.13  EU Clinical Trials Regulation 536/2014 &amp; CTIS Submission</w:t>
      </w:r>
    </w:p>
    <w:p>
      <w:pPr>
        <w:pStyle w:val="ListParagraph"/>
        <w:numPr>
          <w:ilvl w:val="0"/>
          <w:numId w:val="2"/>
        </w:numPr>
        <w:spacing w:after="80"/>
      </w:pPr>
      <w:r>
        <w:rPr>
          <w:rFonts w:ascii="Jost" w:cs="Jost" w:eastAsia="Jost" w:hAnsi="Jost"/>
          <w:color w:val="1B2233"/>
          <w:sz w:val="21"/>
          <w:szCs w:val="21"/>
        </w:rPr>
        <w:t xml:space="preserve">Lay summaries and protocol content submitted to CTIS must be reviewed by the DPO to confirm no direct participant identifiers appear in the public layer.</w:t>
      </w:r>
    </w:p>
    <w:p>
      <w:pPr>
        <w:pStyle w:val="ListParagraph"/>
        <w:numPr>
          <w:ilvl w:val="0"/>
          <w:numId w:val="2"/>
        </w:numPr>
        <w:spacing w:after="80"/>
      </w:pPr>
      <w:r>
        <w:rPr>
          <w:rFonts w:ascii="Jost" w:cs="Jost" w:eastAsia="Jost" w:hAnsi="Jost"/>
          <w:color w:val="1B2233"/>
          <w:sz w:val="21"/>
          <w:szCs w:val="21"/>
        </w:rPr>
        <w:t xml:space="preserve">Investigator and Sponsor contact personal data published via CTIS transparency rules is processed under a distinct legal basis documented separately in the ROPA.</w:t>
      </w:r>
    </w:p>
    <w:p>
      <w:pPr>
        <w:pStyle w:val="ListParagraph"/>
        <w:numPr>
          <w:ilvl w:val="0"/>
          <w:numId w:val="2"/>
        </w:numPr>
        <w:spacing w:after="80"/>
      </w:pPr>
      <w:r>
        <w:rPr>
          <w:rFonts w:ascii="Jost" w:cs="Jost" w:eastAsia="Jost" w:hAnsi="Jost"/>
          <w:color w:val="1B2233"/>
          <w:sz w:val="21"/>
          <w:szCs w:val="21"/>
        </w:rPr>
        <w:t xml:space="preserve">EudraLex Volume 10 guidance and CTIS user manuals must be consulted for country-specific deferral/redaction requests where applicable.</w:t>
      </w:r>
    </w:p>
    <w:p>
      <w:pPr>
        <w:pStyle w:val="Heading2"/>
        <w:spacing w:after="120" w:before="260"/>
      </w:pPr>
      <w:r>
        <w:rPr>
          <w:rFonts w:ascii="Cormorant Garamond" w:cs="Cormorant Garamond" w:eastAsia="Cormorant Garamond" w:hAnsi="Cormorant Garamond"/>
          <w:b/>
          <w:bCs/>
          <w:color w:val="6D4FC7"/>
          <w:sz w:val="27"/>
          <w:szCs w:val="27"/>
        </w:rPr>
        <w:t xml:space="preserve">7.14  ICH M11 CeSHarP Protocol Template Alignment</w:t>
      </w:r>
    </w:p>
    <w:p>
      <w:pPr>
        <w:spacing w:after="140"/>
      </w:pPr>
      <w:r>
        <w:rPr>
          <w:rFonts w:ascii="Jost" w:cs="Jost" w:eastAsia="Jost" w:hAnsi="Jost"/>
          <w:color w:val="1B2233"/>
          <w:sz w:val="21"/>
          <w:szCs w:val="21"/>
        </w:rPr>
        <w:t xml:space="preserve">Where a protocol is authored using the ICH M11 Clinical electronic Structured Harmonised Protocol template, the data protection / privacy section must reference: the applicable Art. 6/9 legal basis, categories of data collected, the GDPR transparency notice, and a summary data flow diagram consistent with the sections above, ensuring a single source of truth between the protocol and the participant-facing consent pack.</w:t>
      </w:r>
    </w:p>
    <w:p>
      <w:pPr>
        <w:pStyle w:val="Heading2"/>
        <w:spacing w:after="120" w:before="260"/>
      </w:pPr>
      <w:r>
        <w:rPr>
          <w:rFonts w:ascii="Cormorant Garamond" w:cs="Cormorant Garamond" w:eastAsia="Cormorant Garamond" w:hAnsi="Cormorant Garamond"/>
          <w:b/>
          <w:bCs/>
          <w:color w:val="6D4FC7"/>
          <w:sz w:val="27"/>
          <w:szCs w:val="27"/>
        </w:rPr>
        <w:t xml:space="preserve">7.15  AI &amp; Aurelyn Clinical Engines™ Governance</w:t>
      </w:r>
    </w:p>
    <w:p>
      <w:pPr>
        <w:spacing w:after="140"/>
      </w:pPr>
      <w:r>
        <w:rPr>
          <w:rFonts w:ascii="Jost" w:cs="Jost" w:eastAsia="Jost" w:hAnsi="Jost"/>
          <w:color w:val="1B2233"/>
          <w:sz w:val="21"/>
          <w:szCs w:val="21"/>
        </w:rPr>
        <w:t xml:space="preserve">Where Cohort Intelligence™, Adaptive Dose™, Safety Sentinel™, Clinical Evidence™, or eTMF Intelligence™ process personal data, the following additional controls apply:</w:t>
      </w:r>
    </w:p>
    <w:p>
      <w:pPr>
        <w:pStyle w:val="ListParagraph"/>
        <w:numPr>
          <w:ilvl w:val="0"/>
          <w:numId w:val="2"/>
        </w:numPr>
        <w:spacing w:after="80"/>
      </w:pPr>
      <w:r>
        <w:rPr>
          <w:rFonts w:ascii="Jost" w:cs="Jost" w:eastAsia="Jost" w:hAnsi="Jost"/>
          <w:color w:val="1B2233"/>
          <w:sz w:val="21"/>
          <w:szCs w:val="21"/>
        </w:rPr>
        <w:t xml:space="preserve">A DPIA is mandatory before go-live for any AI feature that produces an output materially influencing decisions about a participant (Art. 22 automated decision-making considerations).</w:t>
      </w:r>
    </w:p>
    <w:p>
      <w:pPr>
        <w:pStyle w:val="ListParagraph"/>
        <w:numPr>
          <w:ilvl w:val="0"/>
          <w:numId w:val="2"/>
        </w:numPr>
        <w:spacing w:after="80"/>
      </w:pPr>
      <w:r>
        <w:rPr>
          <w:rFonts w:ascii="Jost" w:cs="Jost" w:eastAsia="Jost" w:hAnsi="Jost"/>
          <w:color w:val="1B2233"/>
          <w:sz w:val="21"/>
          <w:szCs w:val="21"/>
        </w:rPr>
        <w:t xml:space="preserve">Personal data is pseudonymized by default before being processed by any AI/ML component; direct identifiers are excluded from model inputs unless a documented, DPO-approved exception exists.</w:t>
      </w:r>
    </w:p>
    <w:p>
      <w:pPr>
        <w:pStyle w:val="ListParagraph"/>
        <w:numPr>
          <w:ilvl w:val="0"/>
          <w:numId w:val="2"/>
        </w:numPr>
        <w:spacing w:after="80"/>
      </w:pPr>
      <w:r>
        <w:rPr>
          <w:rFonts w:ascii="Jost" w:cs="Jost" w:eastAsia="Jost" w:hAnsi="Jost"/>
          <w:color w:val="1B2233"/>
          <w:sz w:val="21"/>
          <w:szCs w:val="21"/>
        </w:rPr>
        <w:t xml:space="preserve">Human oversight is maintained — no fully automated decision producing legal or similarly significant effects on a participant is permitted without meaningful human review.</w:t>
      </w:r>
    </w:p>
    <w:p>
      <w:pPr>
        <w:pStyle w:val="ListParagraph"/>
        <w:numPr>
          <w:ilvl w:val="0"/>
          <w:numId w:val="2"/>
        </w:numPr>
        <w:spacing w:after="80"/>
      </w:pPr>
      <w:r>
        <w:rPr>
          <w:rFonts w:ascii="Jost" w:cs="Jost" w:eastAsia="Jost" w:hAnsi="Jost"/>
          <w:color w:val="1B2233"/>
          <w:sz w:val="21"/>
          <w:szCs w:val="21"/>
        </w:rPr>
        <w:t xml:space="preserve">Personal data is not used to train or fine-tune AI models beyond the specific study for which lawful basis was established, absent a separate, documented legal basis.</w:t>
      </w:r>
    </w:p>
    <w:p>
      <w:pPr>
        <w:pStyle w:val="Heading2"/>
        <w:spacing w:after="120" w:before="260"/>
      </w:pPr>
      <w:r>
        <w:rPr>
          <w:rFonts w:ascii="Cormorant Garamond" w:cs="Cormorant Garamond" w:eastAsia="Cormorant Garamond" w:hAnsi="Cormorant Garamond"/>
          <w:b/>
          <w:bCs/>
          <w:color w:val="6D4FC7"/>
          <w:sz w:val="27"/>
          <w:szCs w:val="27"/>
        </w:rPr>
        <w:t xml:space="preserve">7.16  Cross-Border Safety Reporting</w:t>
      </w:r>
    </w:p>
    <w:p>
      <w:pPr>
        <w:spacing w:after="140"/>
      </w:pPr>
      <w:r>
        <w:rPr>
          <w:rFonts w:ascii="Jost" w:cs="Jost" w:eastAsia="Jost" w:hAnsi="Jost"/>
          <w:color w:val="1B2233"/>
          <w:sz w:val="21"/>
          <w:szCs w:val="21"/>
        </w:rPr>
        <w:t xml:space="preserve">SUSAR and expedited safety reports transmitted to EMA/national authorities and to FDA (IND Safety Reports) under ICH E2A and CIOMS/E2B(R3) formats must minimize personal data — using case identifiers rather than direct identifiers — while retaining sufficient traceability for causality assessment. Cross-border transmission of safety data follows the transfer mechanisms in Section 7.7.</w:t>
      </w:r>
    </w:p>
    <w:p>
      <w:pPr>
        <w:pStyle w:val="Heading2"/>
        <w:spacing w:after="120" w:before="260"/>
      </w:pPr>
      <w:r>
        <w:rPr>
          <w:rFonts w:ascii="Cormorant Garamond" w:cs="Cormorant Garamond" w:eastAsia="Cormorant Garamond" w:hAnsi="Cormorant Garamond"/>
          <w:b/>
          <w:bCs/>
          <w:color w:val="6D4FC7"/>
          <w:sz w:val="27"/>
          <w:szCs w:val="27"/>
        </w:rPr>
        <w:t xml:space="preserve">7.17  Training &amp; Awareness</w:t>
      </w:r>
    </w:p>
    <w:p>
      <w:pPr>
        <w:spacing w:after="140"/>
      </w:pPr>
      <w:r>
        <w:rPr>
          <w:rFonts w:ascii="Jost" w:cs="Jost" w:eastAsia="Jost" w:hAnsi="Jost"/>
          <w:color w:val="1B2233"/>
          <w:sz w:val="21"/>
          <w:szCs w:val="21"/>
        </w:rPr>
        <w:t xml:space="preserve">All personnel with access to trial personal data must complete GDPR and this SOP's training module prior to data access, with refresher training at each annual review cycle or upon material regulatory change. Completion is logged in the training record referenced in Section 8.</w:t>
      </w:r>
    </w:p>
    <w:p>
      <w:pPr>
        <w:pStyle w:val="Heading2"/>
        <w:spacing w:after="120" w:before="260"/>
      </w:pPr>
      <w:r>
        <w:rPr>
          <w:rFonts w:ascii="Cormorant Garamond" w:cs="Cormorant Garamond" w:eastAsia="Cormorant Garamond" w:hAnsi="Cormorant Garamond"/>
          <w:b/>
          <w:bCs/>
          <w:color w:val="6D4FC7"/>
          <w:sz w:val="27"/>
          <w:szCs w:val="27"/>
        </w:rPr>
        <w:t xml:space="preserve">7.18  Deviations &amp; CAPA</w:t>
      </w:r>
    </w:p>
    <w:p>
      <w:pPr>
        <w:spacing w:after="140"/>
      </w:pPr>
      <w:r>
        <w:rPr>
          <w:rFonts w:ascii="Jost" w:cs="Jost" w:eastAsia="Jost" w:hAnsi="Jost"/>
          <w:color w:val="1B2233"/>
          <w:sz w:val="21"/>
          <w:szCs w:val="21"/>
        </w:rPr>
        <w:t xml:space="preserve">Any deviation from this SOP is documented, risk-assessed by the DPO/QA, and — where warranted — escalated into the Corrective and Preventive Action (CAPA) process. Recurring or systemic deviations trigger a root-cause review and, where required, DPIA re-assessment.</w:t>
      </w:r>
    </w:p>
    <w:p>
      <w:pPr>
        <w:pStyle w:val="Heading1"/>
        <w:pBdr>
          <w:bottom w:val="single" w:color="0F9E8E" w:sz="8" w:space="6"/>
        </w:pBdr>
        <w:spacing w:after="200" w:before="400"/>
      </w:pPr>
      <w:r>
        <w:rPr>
          <w:rFonts w:ascii="Jost" w:cs="Jost" w:eastAsia="Jost" w:hAnsi="Jost"/>
          <w:b/>
          <w:bCs/>
          <w:color w:val="0F9E8E"/>
        </w:rPr>
        <w:t xml:space="preserve">8.  </w:t>
      </w:r>
      <w:r>
        <w:rPr>
          <w:rFonts w:ascii="Cormorant Garamond" w:cs="Cormorant Garamond" w:eastAsia="Cormorant Garamond" w:hAnsi="Cormorant Garamond"/>
          <w:b/>
          <w:bCs/>
          <w:color w:val="0A0E1C"/>
          <w:sz w:val="34"/>
          <w:szCs w:val="34"/>
        </w:rPr>
        <w:t xml:space="preserve">Documentation &amp; Records</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3900"/>
        <w:gridCol w:w="2600"/>
        <w:gridCol w:w="2850"/>
      </w:tblGrid>
      <w:tr>
        <w:trPr>
          <w:tblHeader/>
        </w:trPr>
        <w:tc>
          <w:tcPr>
            <w:tcW w:type="dxa" w:w="39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Record</w:t>
            </w:r>
          </w:p>
        </w:tc>
        <w:tc>
          <w:tcPr>
            <w:tcW w:type="dxa" w:w="26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Owner</w:t>
            </w:r>
          </w:p>
        </w:tc>
        <w:tc>
          <w:tcPr>
            <w:tcW w:type="dxa" w:w="28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Retention</w:t>
            </w:r>
          </w:p>
        </w:tc>
      </w:tr>
      <w:tr>
        <w:tc>
          <w:tcPr>
            <w:tcW w:type="dxa" w:w="3900"/>
            <w:tcMar>
              <w:top w:type="dxa" w:w="90"/>
              <w:left w:type="dxa" w:w="110"/>
              <w:bottom w:type="dxa" w:w="90"/>
              <w:right w:type="dxa" w:w="110"/>
            </w:tcMar>
            <w:vAlign w:val="top"/>
          </w:tcPr>
          <w:p>
            <w:r>
              <w:rPr>
                <w:rFonts w:ascii="Jost" w:cs="Jost" w:eastAsia="Jost" w:hAnsi="Jost"/>
                <w:color w:val="1B2233"/>
                <w:sz w:val="21"/>
                <w:szCs w:val="21"/>
              </w:rPr>
              <w:t xml:space="preserve">Record of Processing Activities (ROPA)</w:t>
            </w:r>
          </w:p>
        </w:tc>
        <w:tc>
          <w:tcPr>
            <w:tcW w:type="dxa" w:w="2600"/>
            <w:tcMar>
              <w:top w:type="dxa" w:w="90"/>
              <w:left w:type="dxa" w:w="110"/>
              <w:bottom w:type="dxa" w:w="90"/>
              <w:right w:type="dxa" w:w="110"/>
            </w:tcMar>
            <w:vAlign w:val="top"/>
          </w:tcPr>
          <w:p>
            <w:r>
              <w:rPr>
                <w:rFonts w:ascii="Jost" w:cs="Jost" w:eastAsia="Jost" w:hAnsi="Jost"/>
                <w:color w:val="1B2233"/>
                <w:sz w:val="21"/>
                <w:szCs w:val="21"/>
              </w:rPr>
              <w:t xml:space="preserve">Data Protection Lead</w:t>
            </w:r>
          </w:p>
        </w:tc>
        <w:tc>
          <w:tcPr>
            <w:tcW w:type="dxa" w:w="2850"/>
            <w:tcMar>
              <w:top w:type="dxa" w:w="90"/>
              <w:left w:type="dxa" w:w="110"/>
              <w:bottom w:type="dxa" w:w="90"/>
              <w:right w:type="dxa" w:w="110"/>
            </w:tcMar>
            <w:vAlign w:val="top"/>
          </w:tcPr>
          <w:p>
            <w:r>
              <w:rPr>
                <w:rFonts w:ascii="Jost" w:cs="Jost" w:eastAsia="Jost" w:hAnsi="Jost"/>
                <w:color w:val="1B2233"/>
                <w:sz w:val="21"/>
                <w:szCs w:val="21"/>
              </w:rPr>
              <w:t xml:space="preserve">Life of study + regulatory retention period</w:t>
            </w:r>
          </w:p>
        </w:tc>
      </w:tr>
      <w:tr>
        <w:tc>
          <w:tcPr>
            <w:tcW w:type="dxa" w:w="3900"/>
            <w:shd w:fill="F3F5FA" w:val="clear"/>
            <w:tcMar>
              <w:top w:type="dxa" w:w="90"/>
              <w:left w:type="dxa" w:w="110"/>
              <w:bottom w:type="dxa" w:w="90"/>
              <w:right w:type="dxa" w:w="110"/>
            </w:tcMar>
            <w:vAlign w:val="top"/>
          </w:tcPr>
          <w:p>
            <w:r>
              <w:rPr>
                <w:rFonts w:ascii="Jost" w:cs="Jost" w:eastAsia="Jost" w:hAnsi="Jost"/>
                <w:color w:val="1B2233"/>
                <w:sz w:val="21"/>
                <w:szCs w:val="21"/>
              </w:rPr>
              <w:t xml:space="preserve">DPIA reports</w:t>
            </w:r>
          </w:p>
        </w:tc>
        <w:tc>
          <w:tcPr>
            <w:tcW w:type="dxa" w:w="2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Data Protection Lead / CPM</w:t>
            </w:r>
          </w:p>
        </w:tc>
        <w:tc>
          <w:tcPr>
            <w:tcW w:type="dxa" w:w="2850"/>
            <w:shd w:fill="F3F5FA" w:val="clear"/>
            <w:tcMar>
              <w:top w:type="dxa" w:w="90"/>
              <w:left w:type="dxa" w:w="110"/>
              <w:bottom w:type="dxa" w:w="90"/>
              <w:right w:type="dxa" w:w="110"/>
            </w:tcMar>
            <w:vAlign w:val="top"/>
          </w:tcPr>
          <w:p>
            <w:r>
              <w:rPr>
                <w:rFonts w:ascii="Jost" w:cs="Jost" w:eastAsia="Jost" w:hAnsi="Jost"/>
                <w:color w:val="1B2233"/>
                <w:sz w:val="21"/>
                <w:szCs w:val="21"/>
              </w:rPr>
              <w:t xml:space="preserve">Life of study + regulatory retention period</w:t>
            </w:r>
          </w:p>
        </w:tc>
      </w:tr>
      <w:tr>
        <w:tc>
          <w:tcPr>
            <w:tcW w:type="dxa" w:w="3900"/>
            <w:tcMar>
              <w:top w:type="dxa" w:w="90"/>
              <w:left w:type="dxa" w:w="110"/>
              <w:bottom w:type="dxa" w:w="90"/>
              <w:right w:type="dxa" w:w="110"/>
            </w:tcMar>
            <w:vAlign w:val="top"/>
          </w:tcPr>
          <w:p>
            <w:r>
              <w:rPr>
                <w:rFonts w:ascii="Jost" w:cs="Jost" w:eastAsia="Jost" w:hAnsi="Jost"/>
                <w:color w:val="1B2233"/>
                <w:sz w:val="21"/>
                <w:szCs w:val="21"/>
              </w:rPr>
              <w:t xml:space="preserve">Data Processing Agreements &amp; SCCs</w:t>
            </w:r>
          </w:p>
        </w:tc>
        <w:tc>
          <w:tcPr>
            <w:tcW w:type="dxa" w:w="2600"/>
            <w:tcMar>
              <w:top w:type="dxa" w:w="90"/>
              <w:left w:type="dxa" w:w="110"/>
              <w:bottom w:type="dxa" w:w="90"/>
              <w:right w:type="dxa" w:w="110"/>
            </w:tcMar>
            <w:vAlign w:val="top"/>
          </w:tcPr>
          <w:p>
            <w:r>
              <w:rPr>
                <w:rFonts w:ascii="Jost" w:cs="Jost" w:eastAsia="Jost" w:hAnsi="Jost"/>
                <w:color w:val="1B2233"/>
                <w:sz w:val="21"/>
                <w:szCs w:val="21"/>
              </w:rPr>
              <w:t xml:space="preserve">Legal / Vendor Management</w:t>
            </w:r>
          </w:p>
        </w:tc>
        <w:tc>
          <w:tcPr>
            <w:tcW w:type="dxa" w:w="2850"/>
            <w:tcMar>
              <w:top w:type="dxa" w:w="90"/>
              <w:left w:type="dxa" w:w="110"/>
              <w:bottom w:type="dxa" w:w="90"/>
              <w:right w:type="dxa" w:w="110"/>
            </w:tcMar>
            <w:vAlign w:val="top"/>
          </w:tcPr>
          <w:p>
            <w:r>
              <w:rPr>
                <w:rFonts w:ascii="Jost" w:cs="Jost" w:eastAsia="Jost" w:hAnsi="Jost"/>
                <w:color w:val="1B2233"/>
                <w:sz w:val="21"/>
                <w:szCs w:val="21"/>
              </w:rPr>
              <w:t xml:space="preserve">Duration of engagement + 6 years</w:t>
            </w:r>
          </w:p>
        </w:tc>
      </w:tr>
      <w:tr>
        <w:tc>
          <w:tcPr>
            <w:tcW w:type="dxa" w:w="3900"/>
            <w:shd w:fill="F3F5FA" w:val="clear"/>
            <w:tcMar>
              <w:top w:type="dxa" w:w="90"/>
              <w:left w:type="dxa" w:w="110"/>
              <w:bottom w:type="dxa" w:w="90"/>
              <w:right w:type="dxa" w:w="110"/>
            </w:tcMar>
            <w:vAlign w:val="top"/>
          </w:tcPr>
          <w:p>
            <w:r>
              <w:rPr>
                <w:rFonts w:ascii="Jost" w:cs="Jost" w:eastAsia="Jost" w:hAnsi="Jost"/>
                <w:color w:val="1B2233"/>
                <w:sz w:val="21"/>
                <w:szCs w:val="21"/>
              </w:rPr>
              <w:t xml:space="preserve">Breach log &amp; notifications</w:t>
            </w:r>
          </w:p>
        </w:tc>
        <w:tc>
          <w:tcPr>
            <w:tcW w:type="dxa" w:w="2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Data Protection Lead</w:t>
            </w:r>
          </w:p>
        </w:tc>
        <w:tc>
          <w:tcPr>
            <w:tcW w:type="dxa" w:w="2850"/>
            <w:shd w:fill="F3F5FA" w:val="clear"/>
            <w:tcMar>
              <w:top w:type="dxa" w:w="90"/>
              <w:left w:type="dxa" w:w="110"/>
              <w:bottom w:type="dxa" w:w="90"/>
              <w:right w:type="dxa" w:w="110"/>
            </w:tcMar>
            <w:vAlign w:val="top"/>
          </w:tcPr>
          <w:p>
            <w:r>
              <w:rPr>
                <w:rFonts w:ascii="Jost" w:cs="Jost" w:eastAsia="Jost" w:hAnsi="Jost"/>
                <w:color w:val="1B2233"/>
                <w:sz w:val="21"/>
                <w:szCs w:val="21"/>
              </w:rPr>
              <w:t xml:space="preserve">Minimum 5 years from closure</w:t>
            </w:r>
          </w:p>
        </w:tc>
      </w:tr>
      <w:tr>
        <w:tc>
          <w:tcPr>
            <w:tcW w:type="dxa" w:w="3900"/>
            <w:tcMar>
              <w:top w:type="dxa" w:w="90"/>
              <w:left w:type="dxa" w:w="110"/>
              <w:bottom w:type="dxa" w:w="90"/>
              <w:right w:type="dxa" w:w="110"/>
            </w:tcMar>
            <w:vAlign w:val="top"/>
          </w:tcPr>
          <w:p>
            <w:r>
              <w:rPr>
                <w:rFonts w:ascii="Jost" w:cs="Jost" w:eastAsia="Jost" w:hAnsi="Jost"/>
                <w:color w:val="1B2233"/>
                <w:sz w:val="21"/>
                <w:szCs w:val="21"/>
              </w:rPr>
              <w:t xml:space="preserve">Consent forms &amp; transparency notices (executed)</w:t>
            </w:r>
          </w:p>
        </w:tc>
        <w:tc>
          <w:tcPr>
            <w:tcW w:type="dxa" w:w="2600"/>
            <w:tcMar>
              <w:top w:type="dxa" w:w="90"/>
              <w:left w:type="dxa" w:w="110"/>
              <w:bottom w:type="dxa" w:w="90"/>
              <w:right w:type="dxa" w:w="110"/>
            </w:tcMar>
            <w:vAlign w:val="top"/>
          </w:tcPr>
          <w:p>
            <w:r>
              <w:rPr>
                <w:rFonts w:ascii="Jost" w:cs="Jost" w:eastAsia="Jost" w:hAnsi="Jost"/>
                <w:color w:val="1B2233"/>
                <w:sz w:val="21"/>
                <w:szCs w:val="21"/>
              </w:rPr>
              <w:t xml:space="preserve">Site / eTMF</w:t>
            </w:r>
          </w:p>
        </w:tc>
        <w:tc>
          <w:tcPr>
            <w:tcW w:type="dxa" w:w="2850"/>
            <w:tcMar>
              <w:top w:type="dxa" w:w="90"/>
              <w:left w:type="dxa" w:w="110"/>
              <w:bottom w:type="dxa" w:w="90"/>
              <w:right w:type="dxa" w:w="110"/>
            </w:tcMar>
            <w:vAlign w:val="top"/>
          </w:tcPr>
          <w:p>
            <w:r>
              <w:rPr>
                <w:rFonts w:ascii="Jost" w:cs="Jost" w:eastAsia="Jost" w:hAnsi="Jost"/>
                <w:color w:val="1B2233"/>
                <w:sz w:val="21"/>
                <w:szCs w:val="21"/>
              </w:rPr>
              <w:t xml:space="preserve">Per Appendix C retention schedule</w:t>
            </w:r>
          </w:p>
        </w:tc>
      </w:tr>
      <w:tr>
        <w:tc>
          <w:tcPr>
            <w:tcW w:type="dxa" w:w="3900"/>
            <w:shd w:fill="F3F5FA" w:val="clear"/>
            <w:tcMar>
              <w:top w:type="dxa" w:w="90"/>
              <w:left w:type="dxa" w:w="110"/>
              <w:bottom w:type="dxa" w:w="90"/>
              <w:right w:type="dxa" w:w="110"/>
            </w:tcMar>
            <w:vAlign w:val="top"/>
          </w:tcPr>
          <w:p>
            <w:r>
              <w:rPr>
                <w:rFonts w:ascii="Jost" w:cs="Jost" w:eastAsia="Jost" w:hAnsi="Jost"/>
                <w:color w:val="1B2233"/>
                <w:sz w:val="21"/>
                <w:szCs w:val="21"/>
              </w:rPr>
              <w:t xml:space="preserve">Training completion records</w:t>
            </w:r>
          </w:p>
        </w:tc>
        <w:tc>
          <w:tcPr>
            <w:tcW w:type="dxa" w:w="2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QA / Compliance</w:t>
            </w:r>
          </w:p>
        </w:tc>
        <w:tc>
          <w:tcPr>
            <w:tcW w:type="dxa" w:w="2850"/>
            <w:shd w:fill="F3F5FA" w:val="clear"/>
            <w:tcMar>
              <w:top w:type="dxa" w:w="90"/>
              <w:left w:type="dxa" w:w="110"/>
              <w:bottom w:type="dxa" w:w="90"/>
              <w:right w:type="dxa" w:w="110"/>
            </w:tcMar>
            <w:vAlign w:val="top"/>
          </w:tcPr>
          <w:p>
            <w:r>
              <w:rPr>
                <w:rFonts w:ascii="Jost" w:cs="Jost" w:eastAsia="Jost" w:hAnsi="Jost"/>
                <w:color w:val="1B2233"/>
                <w:sz w:val="21"/>
                <w:szCs w:val="21"/>
              </w:rPr>
              <w:t xml:space="preserve">Duration of employment/engagement + 3 years</w:t>
            </w:r>
          </w:p>
        </w:tc>
      </w:tr>
    </w:tbl>
    <w:p>
      <w:pPr>
        <w:pStyle w:val="Heading1"/>
        <w:pBdr>
          <w:bottom w:val="single" w:color="0F9E8E" w:sz="8" w:space="6"/>
        </w:pBdr>
        <w:spacing w:after="200" w:before="400"/>
      </w:pPr>
      <w:r>
        <w:rPr>
          <w:rFonts w:ascii="Jost" w:cs="Jost" w:eastAsia="Jost" w:hAnsi="Jost"/>
          <w:b/>
          <w:bCs/>
          <w:color w:val="0F9E8E"/>
        </w:rPr>
        <w:t xml:space="preserve">9.  </w:t>
      </w:r>
      <w:r>
        <w:rPr>
          <w:rFonts w:ascii="Cormorant Garamond" w:cs="Cormorant Garamond" w:eastAsia="Cormorant Garamond" w:hAnsi="Cormorant Garamond"/>
          <w:b/>
          <w:bCs/>
          <w:color w:val="0A0E1C"/>
          <w:sz w:val="34"/>
          <w:szCs w:val="34"/>
        </w:rPr>
        <w:t xml:space="preserve">Related Documents</w:t>
      </w:r>
    </w:p>
    <w:p>
      <w:pPr>
        <w:pStyle w:val="ListParagraph"/>
        <w:numPr>
          <w:ilvl w:val="0"/>
          <w:numId w:val="2"/>
        </w:numPr>
        <w:spacing w:after="80"/>
      </w:pPr>
      <w:r>
        <w:rPr>
          <w:rFonts w:ascii="Jost" w:cs="Jost" w:eastAsia="Jost" w:hAnsi="Jost"/>
          <w:color w:val="1B2233"/>
          <w:sz w:val="21"/>
          <w:szCs w:val="21"/>
        </w:rPr>
        <w:t xml:space="preserve">SOP PRI-001 — Data Privacy &amp; Protection Policy</w:t>
      </w:r>
    </w:p>
    <w:p>
      <w:pPr>
        <w:pStyle w:val="ListParagraph"/>
        <w:numPr>
          <w:ilvl w:val="0"/>
          <w:numId w:val="2"/>
        </w:numPr>
        <w:spacing w:after="80"/>
      </w:pPr>
      <w:r>
        <w:rPr>
          <w:rFonts w:ascii="Jost" w:cs="Jost" w:eastAsia="Jost" w:hAnsi="Jost"/>
          <w:color w:val="1B2233"/>
          <w:sz w:val="21"/>
          <w:szCs w:val="21"/>
        </w:rPr>
        <w:t xml:space="preserve">SOP CLN — Informed Consent Process</w:t>
      </w:r>
    </w:p>
    <w:p>
      <w:pPr>
        <w:pStyle w:val="ListParagraph"/>
        <w:numPr>
          <w:ilvl w:val="0"/>
          <w:numId w:val="2"/>
        </w:numPr>
        <w:spacing w:after="80"/>
      </w:pPr>
      <w:r>
        <w:rPr>
          <w:rFonts w:ascii="Jost" w:cs="Jost" w:eastAsia="Jost" w:hAnsi="Jost"/>
          <w:color w:val="1B2233"/>
          <w:sz w:val="21"/>
          <w:szCs w:val="21"/>
        </w:rPr>
        <w:t xml:space="preserve">SOP QA — Incident &amp; Breach Management</w:t>
      </w:r>
    </w:p>
    <w:p>
      <w:pPr>
        <w:pStyle w:val="ListParagraph"/>
        <w:numPr>
          <w:ilvl w:val="0"/>
          <w:numId w:val="2"/>
        </w:numPr>
        <w:spacing w:after="80"/>
      </w:pPr>
      <w:r>
        <w:rPr>
          <w:rFonts w:ascii="Jost" w:cs="Jost" w:eastAsia="Jost" w:hAnsi="Jost"/>
          <w:color w:val="1B2233"/>
          <w:sz w:val="21"/>
          <w:szCs w:val="21"/>
        </w:rPr>
        <w:t xml:space="preserve">SOP DM — Data Management Plan &amp; eCRF Governance</w:t>
      </w:r>
    </w:p>
    <w:p>
      <w:pPr>
        <w:pStyle w:val="ListParagraph"/>
        <w:numPr>
          <w:ilvl w:val="0"/>
          <w:numId w:val="2"/>
        </w:numPr>
        <w:spacing w:after="80"/>
      </w:pPr>
      <w:r>
        <w:rPr>
          <w:rFonts w:ascii="Jost" w:cs="Jost" w:eastAsia="Jost" w:hAnsi="Jost"/>
          <w:color w:val="1B2233"/>
          <w:sz w:val="21"/>
          <w:szCs w:val="21"/>
        </w:rPr>
        <w:t xml:space="preserve">SOP TMF — Trial Master File / eTMF Governance</w:t>
      </w:r>
    </w:p>
    <w:p>
      <w:pPr>
        <w:pStyle w:val="ListParagraph"/>
        <w:numPr>
          <w:ilvl w:val="0"/>
          <w:numId w:val="2"/>
        </w:numPr>
        <w:spacing w:after="80"/>
      </w:pPr>
      <w:r>
        <w:rPr>
          <w:rFonts w:ascii="Jost" w:cs="Jost" w:eastAsia="Jost" w:hAnsi="Jost"/>
          <w:color w:val="1B2233"/>
          <w:sz w:val="21"/>
          <w:szCs w:val="21"/>
        </w:rPr>
        <w:t xml:space="preserve">SOP IT-SEC — Information Security &amp; Access Control</w:t>
      </w:r>
    </w:p>
    <w:p>
      <w:pPr>
        <w:pStyle w:val="ListParagraph"/>
        <w:numPr>
          <w:ilvl w:val="0"/>
          <w:numId w:val="2"/>
        </w:numPr>
        <w:spacing w:after="80"/>
      </w:pPr>
      <w:r>
        <w:rPr>
          <w:rFonts w:ascii="Jost" w:cs="Jost" w:eastAsia="Jost" w:hAnsi="Jost"/>
          <w:color w:val="1B2233"/>
          <w:sz w:val="21"/>
          <w:szCs w:val="21"/>
        </w:rPr>
        <w:t xml:space="preserve">Aurelyn Trial | OS™ Platform Security &amp; AI Governance Charter</w:t>
      </w:r>
    </w:p>
    <w:p>
      <w:pPr>
        <w:pStyle w:val="Heading1"/>
        <w:pBdr>
          <w:bottom w:val="single" w:color="0F9E8E" w:sz="8" w:space="6"/>
        </w:pBdr>
        <w:spacing w:after="200" w:before="400"/>
      </w:pPr>
      <w:r>
        <w:rPr>
          <w:rFonts w:ascii="Jost" w:cs="Jost" w:eastAsia="Jost" w:hAnsi="Jost"/>
          <w:b/>
          <w:bCs/>
          <w:color w:val="0F9E8E"/>
        </w:rPr>
        <w:t xml:space="preserve">10.  </w:t>
      </w:r>
      <w:r>
        <w:rPr>
          <w:rFonts w:ascii="Cormorant Garamond" w:cs="Cormorant Garamond" w:eastAsia="Cormorant Garamond" w:hAnsi="Cormorant Garamond"/>
          <w:b/>
          <w:bCs/>
          <w:color w:val="0A0E1C"/>
          <w:sz w:val="34"/>
          <w:szCs w:val="34"/>
        </w:rPr>
        <w:t xml:space="preserve">Appendices</w:t>
      </w:r>
    </w:p>
    <w:p>
      <w:pPr>
        <w:pStyle w:val="Heading2"/>
        <w:spacing w:after="120" w:before="260"/>
      </w:pPr>
      <w:r>
        <w:rPr>
          <w:rFonts w:ascii="Cormorant Garamond" w:cs="Cormorant Garamond" w:eastAsia="Cormorant Garamond" w:hAnsi="Cormorant Garamond"/>
          <w:b/>
          <w:bCs/>
          <w:color w:val="6D4FC7"/>
          <w:sz w:val="27"/>
          <w:szCs w:val="27"/>
        </w:rPr>
        <w:t xml:space="preserve">Appendix A — RACI Matrix</w:t>
      </w:r>
    </w:p>
    <w:tbl>
      <w:tblPr>
        <w:tblW w:type="dxa" w:w="8900"/>
        <w:tblBorders>
          <w:top w:val="single" w:color="auto" w:sz="4"/>
          <w:left w:val="single" w:color="auto" w:sz="4"/>
          <w:bottom w:val="single" w:color="auto" w:sz="4"/>
          <w:right w:val="single" w:color="auto" w:sz="4"/>
          <w:insideH w:val="single" w:color="auto" w:sz="4"/>
          <w:insideV w:val="single" w:color="auto" w:sz="4"/>
        </w:tblBorders>
      </w:tblPr>
      <w:tblGrid>
        <w:gridCol w:w="2450"/>
        <w:gridCol w:w="1150"/>
        <w:gridCol w:w="950"/>
        <w:gridCol w:w="950"/>
        <w:gridCol w:w="1250"/>
        <w:gridCol w:w="1200"/>
        <w:gridCol w:w="950"/>
      </w:tblGrid>
      <w:tr>
        <w:trPr>
          <w:tblHeader/>
        </w:trPr>
        <w:tc>
          <w:tcPr>
            <w:tcW w:type="dxa" w:w="24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Activity</w:t>
            </w:r>
          </w:p>
        </w:tc>
        <w:tc>
          <w:tcPr>
            <w:tcW w:type="dxa" w:w="11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Sponsor</w:t>
            </w:r>
          </w:p>
        </w:tc>
        <w:tc>
          <w:tcPr>
            <w:tcW w:type="dxa" w:w="9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DPO</w:t>
            </w:r>
          </w:p>
        </w:tc>
        <w:tc>
          <w:tcPr>
            <w:tcW w:type="dxa" w:w="9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CPM</w:t>
            </w:r>
          </w:p>
        </w:tc>
        <w:tc>
          <w:tcPr>
            <w:tcW w:type="dxa" w:w="12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PI/Site</w:t>
            </w:r>
          </w:p>
        </w:tc>
        <w:tc>
          <w:tcPr>
            <w:tcW w:type="dxa" w:w="12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CRO/Vendor</w:t>
            </w:r>
          </w:p>
        </w:tc>
        <w:tc>
          <w:tcPr>
            <w:tcW w:type="dxa" w:w="9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Eng.</w:t>
            </w:r>
          </w:p>
        </w:tc>
      </w:tr>
      <w:tr>
        <w:tc>
          <w:tcPr>
            <w:tcW w:type="dxa" w:w="2450"/>
            <w:tcMar>
              <w:top w:type="dxa" w:w="90"/>
              <w:left w:type="dxa" w:w="110"/>
              <w:bottom w:type="dxa" w:w="90"/>
              <w:right w:type="dxa" w:w="110"/>
            </w:tcMar>
            <w:vAlign w:val="top"/>
          </w:tcPr>
          <w:p>
            <w:r>
              <w:rPr>
                <w:rFonts w:ascii="Jost" w:cs="Jost" w:eastAsia="Jost" w:hAnsi="Jost"/>
                <w:color w:val="1B2233"/>
                <w:sz w:val="21"/>
                <w:szCs w:val="21"/>
              </w:rPr>
              <w:t xml:space="preserve">Legal basis determination</w:t>
            </w:r>
          </w:p>
        </w:tc>
        <w:tc>
          <w:tcPr>
            <w:tcW w:type="dxa" w:w="1150"/>
            <w:tcMar>
              <w:top w:type="dxa" w:w="90"/>
              <w:left w:type="dxa" w:w="110"/>
              <w:bottom w:type="dxa" w:w="90"/>
              <w:right w:type="dxa" w:w="110"/>
            </w:tcMar>
            <w:vAlign w:val="top"/>
          </w:tcPr>
          <w:p>
            <w:r>
              <w:rPr>
                <w:rFonts w:ascii="Jost" w:cs="Jost" w:eastAsia="Jost" w:hAnsi="Jost"/>
                <w:color w:val="1B2233"/>
                <w:sz w:val="21"/>
                <w:szCs w:val="21"/>
              </w:rPr>
              <w:t xml:space="preserve">A</w:t>
            </w:r>
          </w:p>
        </w:tc>
        <w:tc>
          <w:tcPr>
            <w:tcW w:type="dxa" w:w="950"/>
            <w:tcMar>
              <w:top w:type="dxa" w:w="90"/>
              <w:left w:type="dxa" w:w="110"/>
              <w:bottom w:type="dxa" w:w="90"/>
              <w:right w:type="dxa" w:w="110"/>
            </w:tcMar>
            <w:vAlign w:val="top"/>
          </w:tcPr>
          <w:p>
            <w:r>
              <w:rPr>
                <w:rFonts w:ascii="Jost" w:cs="Jost" w:eastAsia="Jost" w:hAnsi="Jost"/>
                <w:color w:val="1B2233"/>
                <w:sz w:val="21"/>
                <w:szCs w:val="21"/>
              </w:rPr>
              <w:t xml:space="preserve">R</w:t>
            </w:r>
          </w:p>
        </w:tc>
        <w:tc>
          <w:tcPr>
            <w:tcW w:type="dxa" w:w="950"/>
            <w:tcMar>
              <w:top w:type="dxa" w:w="90"/>
              <w:left w:type="dxa" w:w="110"/>
              <w:bottom w:type="dxa" w:w="90"/>
              <w:right w:type="dxa" w:w="110"/>
            </w:tcMar>
            <w:vAlign w:val="top"/>
          </w:tcPr>
          <w:p>
            <w:r>
              <w:rPr>
                <w:rFonts w:ascii="Jost" w:cs="Jost" w:eastAsia="Jost" w:hAnsi="Jost"/>
                <w:color w:val="1B2233"/>
                <w:sz w:val="21"/>
                <w:szCs w:val="21"/>
              </w:rPr>
              <w:t xml:space="preserve">C</w:t>
            </w:r>
          </w:p>
        </w:tc>
        <w:tc>
          <w:tcPr>
            <w:tcW w:type="dxa" w:w="1250"/>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1200"/>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950"/>
            <w:tcMar>
              <w:top w:type="dxa" w:w="90"/>
              <w:left w:type="dxa" w:w="110"/>
              <w:bottom w:type="dxa" w:w="90"/>
              <w:right w:type="dxa" w:w="110"/>
            </w:tcMar>
            <w:vAlign w:val="top"/>
          </w:tcPr>
          <w:p>
            <w:r>
              <w:rPr>
                <w:rFonts w:ascii="Jost" w:cs="Jost" w:eastAsia="Jost" w:hAnsi="Jost"/>
                <w:color w:val="1B2233"/>
                <w:sz w:val="21"/>
                <w:szCs w:val="21"/>
              </w:rPr>
              <w:t xml:space="preserve">I</w:t>
            </w:r>
          </w:p>
        </w:tc>
      </w:tr>
      <w:tr>
        <w:tc>
          <w:tcPr>
            <w:tcW w:type="dxa" w:w="2450"/>
            <w:shd w:fill="F3F5FA" w:val="clear"/>
            <w:tcMar>
              <w:top w:type="dxa" w:w="90"/>
              <w:left w:type="dxa" w:w="110"/>
              <w:bottom w:type="dxa" w:w="90"/>
              <w:right w:type="dxa" w:w="110"/>
            </w:tcMar>
            <w:vAlign w:val="top"/>
          </w:tcPr>
          <w:p>
            <w:r>
              <w:rPr>
                <w:rFonts w:ascii="Jost" w:cs="Jost" w:eastAsia="Jost" w:hAnsi="Jost"/>
                <w:color w:val="1B2233"/>
                <w:sz w:val="21"/>
                <w:szCs w:val="21"/>
              </w:rPr>
              <w:t xml:space="preserve">DPIA authoring &amp; approval</w:t>
            </w:r>
          </w:p>
        </w:tc>
        <w:tc>
          <w:tcPr>
            <w:tcW w:type="dxa" w:w="1150"/>
            <w:shd w:fill="F3F5FA" w:val="clear"/>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950"/>
            <w:shd w:fill="F3F5FA" w:val="clear"/>
            <w:tcMar>
              <w:top w:type="dxa" w:w="90"/>
              <w:left w:type="dxa" w:w="110"/>
              <w:bottom w:type="dxa" w:w="90"/>
              <w:right w:type="dxa" w:w="110"/>
            </w:tcMar>
            <w:vAlign w:val="top"/>
          </w:tcPr>
          <w:p>
            <w:r>
              <w:rPr>
                <w:rFonts w:ascii="Jost" w:cs="Jost" w:eastAsia="Jost" w:hAnsi="Jost"/>
                <w:color w:val="1B2233"/>
                <w:sz w:val="21"/>
                <w:szCs w:val="21"/>
              </w:rPr>
              <w:t xml:space="preserve">A</w:t>
            </w:r>
          </w:p>
        </w:tc>
        <w:tc>
          <w:tcPr>
            <w:tcW w:type="dxa" w:w="950"/>
            <w:shd w:fill="F3F5FA" w:val="clear"/>
            <w:tcMar>
              <w:top w:type="dxa" w:w="90"/>
              <w:left w:type="dxa" w:w="110"/>
              <w:bottom w:type="dxa" w:w="90"/>
              <w:right w:type="dxa" w:w="110"/>
            </w:tcMar>
            <w:vAlign w:val="top"/>
          </w:tcPr>
          <w:p>
            <w:r>
              <w:rPr>
                <w:rFonts w:ascii="Jost" w:cs="Jost" w:eastAsia="Jost" w:hAnsi="Jost"/>
                <w:color w:val="1B2233"/>
                <w:sz w:val="21"/>
                <w:szCs w:val="21"/>
              </w:rPr>
              <w:t xml:space="preserve">R</w:t>
            </w:r>
          </w:p>
        </w:tc>
        <w:tc>
          <w:tcPr>
            <w:tcW w:type="dxa" w:w="12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w:t>
            </w:r>
          </w:p>
        </w:tc>
        <w:tc>
          <w:tcPr>
            <w:tcW w:type="dxa" w:w="1200"/>
            <w:shd w:fill="F3F5FA" w:val="clear"/>
            <w:tcMar>
              <w:top w:type="dxa" w:w="90"/>
              <w:left w:type="dxa" w:w="110"/>
              <w:bottom w:type="dxa" w:w="90"/>
              <w:right w:type="dxa" w:w="110"/>
            </w:tcMar>
            <w:vAlign w:val="top"/>
          </w:tcPr>
          <w:p>
            <w:r>
              <w:rPr>
                <w:rFonts w:ascii="Jost" w:cs="Jost" w:eastAsia="Jost" w:hAnsi="Jost"/>
                <w:color w:val="1B2233"/>
                <w:sz w:val="21"/>
                <w:szCs w:val="21"/>
              </w:rPr>
              <w:t xml:space="preserve">C</w:t>
            </w:r>
          </w:p>
        </w:tc>
        <w:tc>
          <w:tcPr>
            <w:tcW w:type="dxa" w:w="9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w:t>
            </w:r>
          </w:p>
        </w:tc>
      </w:tr>
      <w:tr>
        <w:tc>
          <w:tcPr>
            <w:tcW w:type="dxa" w:w="2450"/>
            <w:tcMar>
              <w:top w:type="dxa" w:w="90"/>
              <w:left w:type="dxa" w:w="110"/>
              <w:bottom w:type="dxa" w:w="90"/>
              <w:right w:type="dxa" w:w="110"/>
            </w:tcMar>
            <w:vAlign w:val="top"/>
          </w:tcPr>
          <w:p>
            <w:r>
              <w:rPr>
                <w:rFonts w:ascii="Jost" w:cs="Jost" w:eastAsia="Jost" w:hAnsi="Jost"/>
                <w:color w:val="1B2233"/>
                <w:sz w:val="21"/>
                <w:szCs w:val="21"/>
              </w:rPr>
              <w:t xml:space="preserve">Consent / notice drafting</w:t>
            </w:r>
          </w:p>
        </w:tc>
        <w:tc>
          <w:tcPr>
            <w:tcW w:type="dxa" w:w="1150"/>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950"/>
            <w:tcMar>
              <w:top w:type="dxa" w:w="90"/>
              <w:left w:type="dxa" w:w="110"/>
              <w:bottom w:type="dxa" w:w="90"/>
              <w:right w:type="dxa" w:w="110"/>
            </w:tcMar>
            <w:vAlign w:val="top"/>
          </w:tcPr>
          <w:p>
            <w:r>
              <w:rPr>
                <w:rFonts w:ascii="Jost" w:cs="Jost" w:eastAsia="Jost" w:hAnsi="Jost"/>
                <w:color w:val="1B2233"/>
                <w:sz w:val="21"/>
                <w:szCs w:val="21"/>
              </w:rPr>
              <w:t xml:space="preserve">C</w:t>
            </w:r>
          </w:p>
        </w:tc>
        <w:tc>
          <w:tcPr>
            <w:tcW w:type="dxa" w:w="950"/>
            <w:tcMar>
              <w:top w:type="dxa" w:w="90"/>
              <w:left w:type="dxa" w:w="110"/>
              <w:bottom w:type="dxa" w:w="90"/>
              <w:right w:type="dxa" w:w="110"/>
            </w:tcMar>
            <w:vAlign w:val="top"/>
          </w:tcPr>
          <w:p>
            <w:r>
              <w:rPr>
                <w:rFonts w:ascii="Jost" w:cs="Jost" w:eastAsia="Jost" w:hAnsi="Jost"/>
                <w:color w:val="1B2233"/>
                <w:sz w:val="21"/>
                <w:szCs w:val="21"/>
              </w:rPr>
              <w:t xml:space="preserve">R</w:t>
            </w:r>
          </w:p>
        </w:tc>
        <w:tc>
          <w:tcPr>
            <w:tcW w:type="dxa" w:w="1250"/>
            <w:tcMar>
              <w:top w:type="dxa" w:w="90"/>
              <w:left w:type="dxa" w:w="110"/>
              <w:bottom w:type="dxa" w:w="90"/>
              <w:right w:type="dxa" w:w="110"/>
            </w:tcMar>
            <w:vAlign w:val="top"/>
          </w:tcPr>
          <w:p>
            <w:r>
              <w:rPr>
                <w:rFonts w:ascii="Jost" w:cs="Jost" w:eastAsia="Jost" w:hAnsi="Jost"/>
                <w:color w:val="1B2233"/>
                <w:sz w:val="21"/>
                <w:szCs w:val="21"/>
              </w:rPr>
              <w:t xml:space="preserve">A</w:t>
            </w:r>
          </w:p>
        </w:tc>
        <w:tc>
          <w:tcPr>
            <w:tcW w:type="dxa" w:w="1200"/>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950"/>
            <w:tcMar>
              <w:top w:type="dxa" w:w="90"/>
              <w:left w:type="dxa" w:w="110"/>
              <w:bottom w:type="dxa" w:w="90"/>
              <w:right w:type="dxa" w:w="110"/>
            </w:tcMar>
            <w:vAlign w:val="top"/>
          </w:tcPr>
          <w:p>
            <w:r>
              <w:rPr>
                <w:rFonts w:ascii="Jost" w:cs="Jost" w:eastAsia="Jost" w:hAnsi="Jost"/>
                <w:color w:val="1B2233"/>
                <w:sz w:val="21"/>
                <w:szCs w:val="21"/>
              </w:rPr>
              <w:t xml:space="preserve">I</w:t>
            </w:r>
          </w:p>
        </w:tc>
      </w:tr>
      <w:tr>
        <w:tc>
          <w:tcPr>
            <w:tcW w:type="dxa" w:w="2450"/>
            <w:shd w:fill="F3F5FA" w:val="clear"/>
            <w:tcMar>
              <w:top w:type="dxa" w:w="90"/>
              <w:left w:type="dxa" w:w="110"/>
              <w:bottom w:type="dxa" w:w="90"/>
              <w:right w:type="dxa" w:w="110"/>
            </w:tcMar>
            <w:vAlign w:val="top"/>
          </w:tcPr>
          <w:p>
            <w:r>
              <w:rPr>
                <w:rFonts w:ascii="Jost" w:cs="Jost" w:eastAsia="Jost" w:hAnsi="Jost"/>
                <w:color w:val="1B2233"/>
                <w:sz w:val="21"/>
                <w:szCs w:val="21"/>
              </w:rPr>
              <w:t xml:space="preserve">DPA / SCC execution</w:t>
            </w:r>
          </w:p>
        </w:tc>
        <w:tc>
          <w:tcPr>
            <w:tcW w:type="dxa" w:w="1150"/>
            <w:shd w:fill="F3F5FA" w:val="clear"/>
            <w:tcMar>
              <w:top w:type="dxa" w:w="90"/>
              <w:left w:type="dxa" w:w="110"/>
              <w:bottom w:type="dxa" w:w="90"/>
              <w:right w:type="dxa" w:w="110"/>
            </w:tcMar>
            <w:vAlign w:val="top"/>
          </w:tcPr>
          <w:p>
            <w:r>
              <w:rPr>
                <w:rFonts w:ascii="Jost" w:cs="Jost" w:eastAsia="Jost" w:hAnsi="Jost"/>
                <w:color w:val="1B2233"/>
                <w:sz w:val="21"/>
                <w:szCs w:val="21"/>
              </w:rPr>
              <w:t xml:space="preserve">A</w:t>
            </w:r>
          </w:p>
        </w:tc>
        <w:tc>
          <w:tcPr>
            <w:tcW w:type="dxa" w:w="950"/>
            <w:shd w:fill="F3F5FA" w:val="clear"/>
            <w:tcMar>
              <w:top w:type="dxa" w:w="90"/>
              <w:left w:type="dxa" w:w="110"/>
              <w:bottom w:type="dxa" w:w="90"/>
              <w:right w:type="dxa" w:w="110"/>
            </w:tcMar>
            <w:vAlign w:val="top"/>
          </w:tcPr>
          <w:p>
            <w:r>
              <w:rPr>
                <w:rFonts w:ascii="Jost" w:cs="Jost" w:eastAsia="Jost" w:hAnsi="Jost"/>
                <w:color w:val="1B2233"/>
                <w:sz w:val="21"/>
                <w:szCs w:val="21"/>
              </w:rPr>
              <w:t xml:space="preserve">R</w:t>
            </w:r>
          </w:p>
        </w:tc>
        <w:tc>
          <w:tcPr>
            <w:tcW w:type="dxa" w:w="9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w:t>
            </w:r>
          </w:p>
        </w:tc>
        <w:tc>
          <w:tcPr>
            <w:tcW w:type="dxa" w:w="1250"/>
            <w:shd w:fill="F3F5FA" w:val="clear"/>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1200"/>
            <w:shd w:fill="F3F5FA" w:val="clear"/>
            <w:tcMar>
              <w:top w:type="dxa" w:w="90"/>
              <w:left w:type="dxa" w:w="110"/>
              <w:bottom w:type="dxa" w:w="90"/>
              <w:right w:type="dxa" w:w="110"/>
            </w:tcMar>
            <w:vAlign w:val="top"/>
          </w:tcPr>
          <w:p>
            <w:r>
              <w:rPr>
                <w:rFonts w:ascii="Jost" w:cs="Jost" w:eastAsia="Jost" w:hAnsi="Jost"/>
                <w:color w:val="1B2233"/>
                <w:sz w:val="21"/>
                <w:szCs w:val="21"/>
              </w:rPr>
              <w:t xml:space="preserve">R</w:t>
            </w:r>
          </w:p>
        </w:tc>
        <w:tc>
          <w:tcPr>
            <w:tcW w:type="dxa" w:w="950"/>
            <w:shd w:fill="F3F5FA" w:val="clear"/>
            <w:tcMar>
              <w:top w:type="dxa" w:w="90"/>
              <w:left w:type="dxa" w:w="110"/>
              <w:bottom w:type="dxa" w:w="90"/>
              <w:right w:type="dxa" w:w="110"/>
            </w:tcMar>
            <w:vAlign w:val="top"/>
          </w:tcPr>
          <w:p>
            <w:r>
              <w:rPr>
                <w:rFonts w:ascii="Jost" w:cs="Jost" w:eastAsia="Jost" w:hAnsi="Jost"/>
                <w:color w:val="1B2233"/>
                <w:sz w:val="21"/>
                <w:szCs w:val="21"/>
              </w:rPr>
              <w:t xml:space="preserve">I</w:t>
            </w:r>
          </w:p>
        </w:tc>
      </w:tr>
      <w:tr>
        <w:tc>
          <w:tcPr>
            <w:tcW w:type="dxa" w:w="2450"/>
            <w:tcMar>
              <w:top w:type="dxa" w:w="90"/>
              <w:left w:type="dxa" w:w="110"/>
              <w:bottom w:type="dxa" w:w="90"/>
              <w:right w:type="dxa" w:w="110"/>
            </w:tcMar>
            <w:vAlign w:val="top"/>
          </w:tcPr>
          <w:p>
            <w:r>
              <w:rPr>
                <w:rFonts w:ascii="Jost" w:cs="Jost" w:eastAsia="Jost" w:hAnsi="Jost"/>
                <w:color w:val="1B2233"/>
                <w:sz w:val="21"/>
                <w:szCs w:val="21"/>
              </w:rPr>
              <w:t xml:space="preserve">Breach detection &amp; escalation</w:t>
            </w:r>
          </w:p>
        </w:tc>
        <w:tc>
          <w:tcPr>
            <w:tcW w:type="dxa" w:w="1150"/>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950"/>
            <w:tcMar>
              <w:top w:type="dxa" w:w="90"/>
              <w:left w:type="dxa" w:w="110"/>
              <w:bottom w:type="dxa" w:w="90"/>
              <w:right w:type="dxa" w:w="110"/>
            </w:tcMar>
            <w:vAlign w:val="top"/>
          </w:tcPr>
          <w:p>
            <w:r>
              <w:rPr>
                <w:rFonts w:ascii="Jost" w:cs="Jost" w:eastAsia="Jost" w:hAnsi="Jost"/>
                <w:color w:val="1B2233"/>
                <w:sz w:val="21"/>
                <w:szCs w:val="21"/>
              </w:rPr>
              <w:t xml:space="preserve">A</w:t>
            </w:r>
          </w:p>
        </w:tc>
        <w:tc>
          <w:tcPr>
            <w:tcW w:type="dxa" w:w="950"/>
            <w:tcMar>
              <w:top w:type="dxa" w:w="90"/>
              <w:left w:type="dxa" w:w="110"/>
              <w:bottom w:type="dxa" w:w="90"/>
              <w:right w:type="dxa" w:w="110"/>
            </w:tcMar>
            <w:vAlign w:val="top"/>
          </w:tcPr>
          <w:p>
            <w:r>
              <w:rPr>
                <w:rFonts w:ascii="Jost" w:cs="Jost" w:eastAsia="Jost" w:hAnsi="Jost"/>
                <w:color w:val="1B2233"/>
                <w:sz w:val="21"/>
                <w:szCs w:val="21"/>
              </w:rPr>
              <w:t xml:space="preserve">C</w:t>
            </w:r>
          </w:p>
        </w:tc>
        <w:tc>
          <w:tcPr>
            <w:tcW w:type="dxa" w:w="1250"/>
            <w:tcMar>
              <w:top w:type="dxa" w:w="90"/>
              <w:left w:type="dxa" w:w="110"/>
              <w:bottom w:type="dxa" w:w="90"/>
              <w:right w:type="dxa" w:w="110"/>
            </w:tcMar>
            <w:vAlign w:val="top"/>
          </w:tcPr>
          <w:p>
            <w:r>
              <w:rPr>
                <w:rFonts w:ascii="Jost" w:cs="Jost" w:eastAsia="Jost" w:hAnsi="Jost"/>
                <w:color w:val="1B2233"/>
                <w:sz w:val="21"/>
                <w:szCs w:val="21"/>
              </w:rPr>
              <w:t xml:space="preserve">R</w:t>
            </w:r>
          </w:p>
        </w:tc>
        <w:tc>
          <w:tcPr>
            <w:tcW w:type="dxa" w:w="1200"/>
            <w:tcMar>
              <w:top w:type="dxa" w:w="90"/>
              <w:left w:type="dxa" w:w="110"/>
              <w:bottom w:type="dxa" w:w="90"/>
              <w:right w:type="dxa" w:w="110"/>
            </w:tcMar>
            <w:vAlign w:val="top"/>
          </w:tcPr>
          <w:p>
            <w:r>
              <w:rPr>
                <w:rFonts w:ascii="Jost" w:cs="Jost" w:eastAsia="Jost" w:hAnsi="Jost"/>
                <w:color w:val="1B2233"/>
                <w:sz w:val="21"/>
                <w:szCs w:val="21"/>
              </w:rPr>
              <w:t xml:space="preserve">R</w:t>
            </w:r>
          </w:p>
        </w:tc>
        <w:tc>
          <w:tcPr>
            <w:tcW w:type="dxa" w:w="950"/>
            <w:tcMar>
              <w:top w:type="dxa" w:w="90"/>
              <w:left w:type="dxa" w:w="110"/>
              <w:bottom w:type="dxa" w:w="90"/>
              <w:right w:type="dxa" w:w="110"/>
            </w:tcMar>
            <w:vAlign w:val="top"/>
          </w:tcPr>
          <w:p>
            <w:r>
              <w:rPr>
                <w:rFonts w:ascii="Jost" w:cs="Jost" w:eastAsia="Jost" w:hAnsi="Jost"/>
                <w:color w:val="1B2233"/>
                <w:sz w:val="21"/>
                <w:szCs w:val="21"/>
              </w:rPr>
              <w:t xml:space="preserve">R</w:t>
            </w:r>
          </w:p>
        </w:tc>
      </w:tr>
      <w:tr>
        <w:tc>
          <w:tcPr>
            <w:tcW w:type="dxa" w:w="2450"/>
            <w:shd w:fill="F3F5FA" w:val="clear"/>
            <w:tcMar>
              <w:top w:type="dxa" w:w="90"/>
              <w:left w:type="dxa" w:w="110"/>
              <w:bottom w:type="dxa" w:w="90"/>
              <w:right w:type="dxa" w:w="110"/>
            </w:tcMar>
            <w:vAlign w:val="top"/>
          </w:tcPr>
          <w:p>
            <w:r>
              <w:rPr>
                <w:rFonts w:ascii="Jost" w:cs="Jost" w:eastAsia="Jost" w:hAnsi="Jost"/>
                <w:color w:val="1B2233"/>
                <w:sz w:val="21"/>
                <w:szCs w:val="21"/>
              </w:rPr>
              <w:t xml:space="preserve">Authority / subject notification</w:t>
            </w:r>
          </w:p>
        </w:tc>
        <w:tc>
          <w:tcPr>
            <w:tcW w:type="dxa" w:w="11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w:t>
            </w:r>
          </w:p>
        </w:tc>
        <w:tc>
          <w:tcPr>
            <w:tcW w:type="dxa" w:w="950"/>
            <w:shd w:fill="F3F5FA" w:val="clear"/>
            <w:tcMar>
              <w:top w:type="dxa" w:w="90"/>
              <w:left w:type="dxa" w:w="110"/>
              <w:bottom w:type="dxa" w:w="90"/>
              <w:right w:type="dxa" w:w="110"/>
            </w:tcMar>
            <w:vAlign w:val="top"/>
          </w:tcPr>
          <w:p>
            <w:r>
              <w:rPr>
                <w:rFonts w:ascii="Jost" w:cs="Jost" w:eastAsia="Jost" w:hAnsi="Jost"/>
                <w:color w:val="1B2233"/>
                <w:sz w:val="21"/>
                <w:szCs w:val="21"/>
              </w:rPr>
              <w:t xml:space="preserve">A/R</w:t>
            </w:r>
          </w:p>
        </w:tc>
        <w:tc>
          <w:tcPr>
            <w:tcW w:type="dxa" w:w="950"/>
            <w:shd w:fill="F3F5FA" w:val="clear"/>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1250"/>
            <w:shd w:fill="F3F5FA" w:val="clear"/>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1200"/>
            <w:shd w:fill="F3F5FA" w:val="clear"/>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950"/>
            <w:shd w:fill="F3F5FA" w:val="clear"/>
            <w:tcMar>
              <w:top w:type="dxa" w:w="90"/>
              <w:left w:type="dxa" w:w="110"/>
              <w:bottom w:type="dxa" w:w="90"/>
              <w:right w:type="dxa" w:w="110"/>
            </w:tcMar>
            <w:vAlign w:val="top"/>
          </w:tcPr>
          <w:p>
            <w:r>
              <w:rPr>
                <w:rFonts w:ascii="Jost" w:cs="Jost" w:eastAsia="Jost" w:hAnsi="Jost"/>
                <w:color w:val="1B2233"/>
                <w:sz w:val="21"/>
                <w:szCs w:val="21"/>
              </w:rPr>
              <w:t xml:space="preserve">I</w:t>
            </w:r>
          </w:p>
        </w:tc>
      </w:tr>
      <w:tr>
        <w:tc>
          <w:tcPr>
            <w:tcW w:type="dxa" w:w="2450"/>
            <w:tcMar>
              <w:top w:type="dxa" w:w="90"/>
              <w:left w:type="dxa" w:w="110"/>
              <w:bottom w:type="dxa" w:w="90"/>
              <w:right w:type="dxa" w:w="110"/>
            </w:tcMar>
            <w:vAlign w:val="top"/>
          </w:tcPr>
          <w:p>
            <w:r>
              <w:rPr>
                <w:rFonts w:ascii="Jost" w:cs="Jost" w:eastAsia="Jost" w:hAnsi="Jost"/>
                <w:color w:val="1B2233"/>
                <w:sz w:val="21"/>
                <w:szCs w:val="21"/>
              </w:rPr>
              <w:t xml:space="preserve">Platform security controls (Art. 32)</w:t>
            </w:r>
          </w:p>
        </w:tc>
        <w:tc>
          <w:tcPr>
            <w:tcW w:type="dxa" w:w="1150"/>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950"/>
            <w:tcMar>
              <w:top w:type="dxa" w:w="90"/>
              <w:left w:type="dxa" w:w="110"/>
              <w:bottom w:type="dxa" w:w="90"/>
              <w:right w:type="dxa" w:w="110"/>
            </w:tcMar>
            <w:vAlign w:val="top"/>
          </w:tcPr>
          <w:p>
            <w:r>
              <w:rPr>
                <w:rFonts w:ascii="Jost" w:cs="Jost" w:eastAsia="Jost" w:hAnsi="Jost"/>
                <w:color w:val="1B2233"/>
                <w:sz w:val="21"/>
                <w:szCs w:val="21"/>
              </w:rPr>
              <w:t xml:space="preserve">C</w:t>
            </w:r>
          </w:p>
        </w:tc>
        <w:tc>
          <w:tcPr>
            <w:tcW w:type="dxa" w:w="950"/>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1250"/>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1200"/>
            <w:tcMar>
              <w:top w:type="dxa" w:w="90"/>
              <w:left w:type="dxa" w:w="110"/>
              <w:bottom w:type="dxa" w:w="90"/>
              <w:right w:type="dxa" w:w="110"/>
            </w:tcMar>
            <w:vAlign w:val="top"/>
          </w:tcPr>
          <w:p>
            <w:r>
              <w:rPr>
                <w:rFonts w:ascii="Jost" w:cs="Jost" w:eastAsia="Jost" w:hAnsi="Jost"/>
                <w:color w:val="1B2233"/>
                <w:sz w:val="21"/>
                <w:szCs w:val="21"/>
              </w:rPr>
              <w:t xml:space="preserve">C</w:t>
            </w:r>
          </w:p>
        </w:tc>
        <w:tc>
          <w:tcPr>
            <w:tcW w:type="dxa" w:w="950"/>
            <w:tcMar>
              <w:top w:type="dxa" w:w="90"/>
              <w:left w:type="dxa" w:w="110"/>
              <w:bottom w:type="dxa" w:w="90"/>
              <w:right w:type="dxa" w:w="110"/>
            </w:tcMar>
            <w:vAlign w:val="top"/>
          </w:tcPr>
          <w:p>
            <w:r>
              <w:rPr>
                <w:rFonts w:ascii="Jost" w:cs="Jost" w:eastAsia="Jost" w:hAnsi="Jost"/>
                <w:color w:val="1B2233"/>
                <w:sz w:val="21"/>
                <w:szCs w:val="21"/>
              </w:rPr>
              <w:t xml:space="preserve">A/R</w:t>
            </w:r>
          </w:p>
        </w:tc>
      </w:tr>
      <w:tr>
        <w:tc>
          <w:tcPr>
            <w:tcW w:type="dxa" w:w="2450"/>
            <w:shd w:fill="F3F5FA" w:val="clear"/>
            <w:tcMar>
              <w:top w:type="dxa" w:w="90"/>
              <w:left w:type="dxa" w:w="110"/>
              <w:bottom w:type="dxa" w:w="90"/>
              <w:right w:type="dxa" w:w="110"/>
            </w:tcMar>
            <w:vAlign w:val="top"/>
          </w:tcPr>
          <w:p>
            <w:r>
              <w:rPr>
                <w:rFonts w:ascii="Jost" w:cs="Jost" w:eastAsia="Jost" w:hAnsi="Jost"/>
                <w:color w:val="1B2233"/>
                <w:sz w:val="21"/>
                <w:szCs w:val="21"/>
              </w:rPr>
              <w:t xml:space="preserve">Data subject rights response</w:t>
            </w:r>
          </w:p>
        </w:tc>
        <w:tc>
          <w:tcPr>
            <w:tcW w:type="dxa" w:w="1150"/>
            <w:shd w:fill="F3F5FA" w:val="clear"/>
            <w:tcMar>
              <w:top w:type="dxa" w:w="90"/>
              <w:left w:type="dxa" w:w="110"/>
              <w:bottom w:type="dxa" w:w="90"/>
              <w:right w:type="dxa" w:w="110"/>
            </w:tcMar>
            <w:vAlign w:val="top"/>
          </w:tcPr>
          <w:p>
            <w:r>
              <w:rPr>
                <w:rFonts w:ascii="Jost" w:cs="Jost" w:eastAsia="Jost" w:hAnsi="Jost"/>
                <w:color w:val="1B2233"/>
                <w:sz w:val="21"/>
                <w:szCs w:val="21"/>
              </w:rPr>
              <w:t xml:space="preserve">I</w:t>
            </w:r>
          </w:p>
        </w:tc>
        <w:tc>
          <w:tcPr>
            <w:tcW w:type="dxa" w:w="950"/>
            <w:shd w:fill="F3F5FA" w:val="clear"/>
            <w:tcMar>
              <w:top w:type="dxa" w:w="90"/>
              <w:left w:type="dxa" w:w="110"/>
              <w:bottom w:type="dxa" w:w="90"/>
              <w:right w:type="dxa" w:w="110"/>
            </w:tcMar>
            <w:vAlign w:val="top"/>
          </w:tcPr>
          <w:p>
            <w:r>
              <w:rPr>
                <w:rFonts w:ascii="Jost" w:cs="Jost" w:eastAsia="Jost" w:hAnsi="Jost"/>
                <w:color w:val="1B2233"/>
                <w:sz w:val="21"/>
                <w:szCs w:val="21"/>
              </w:rPr>
              <w:t xml:space="preserve">A</w:t>
            </w:r>
          </w:p>
        </w:tc>
        <w:tc>
          <w:tcPr>
            <w:tcW w:type="dxa" w:w="950"/>
            <w:shd w:fill="F3F5FA" w:val="clear"/>
            <w:tcMar>
              <w:top w:type="dxa" w:w="90"/>
              <w:left w:type="dxa" w:w="110"/>
              <w:bottom w:type="dxa" w:w="90"/>
              <w:right w:type="dxa" w:w="110"/>
            </w:tcMar>
            <w:vAlign w:val="top"/>
          </w:tcPr>
          <w:p>
            <w:r>
              <w:rPr>
                <w:rFonts w:ascii="Jost" w:cs="Jost" w:eastAsia="Jost" w:hAnsi="Jost"/>
                <w:color w:val="1B2233"/>
                <w:sz w:val="21"/>
                <w:szCs w:val="21"/>
              </w:rPr>
              <w:t xml:space="preserve">R</w:t>
            </w:r>
          </w:p>
        </w:tc>
        <w:tc>
          <w:tcPr>
            <w:tcW w:type="dxa" w:w="12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w:t>
            </w:r>
          </w:p>
        </w:tc>
        <w:tc>
          <w:tcPr>
            <w:tcW w:type="dxa" w:w="1200"/>
            <w:shd w:fill="F3F5FA" w:val="clear"/>
            <w:tcMar>
              <w:top w:type="dxa" w:w="90"/>
              <w:left w:type="dxa" w:w="110"/>
              <w:bottom w:type="dxa" w:w="90"/>
              <w:right w:type="dxa" w:w="110"/>
            </w:tcMar>
            <w:vAlign w:val="top"/>
          </w:tcPr>
          <w:p>
            <w:r>
              <w:rPr>
                <w:rFonts w:ascii="Jost" w:cs="Jost" w:eastAsia="Jost" w:hAnsi="Jost"/>
                <w:color w:val="1B2233"/>
                <w:sz w:val="21"/>
                <w:szCs w:val="21"/>
              </w:rPr>
              <w:t xml:space="preserve">C</w:t>
            </w:r>
          </w:p>
        </w:tc>
        <w:tc>
          <w:tcPr>
            <w:tcW w:type="dxa" w:w="9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w:t>
            </w:r>
          </w:p>
        </w:tc>
      </w:tr>
    </w:tbl>
    <w:p>
      <w:pPr>
        <w:spacing w:after="200" w:before="80"/>
      </w:pPr>
      <w:r>
        <w:rPr>
          <w:rFonts w:ascii="Jost" w:cs="Jost" w:eastAsia="Jost" w:hAnsi="Jost"/>
          <w:color w:val="1B2233"/>
          <w:sz w:val="21"/>
          <w:szCs w:val="21"/>
        </w:rPr>
        <w:t xml:space="preserve">R = Responsible · A = Accountable · C = Consulted · I = Informed</w:t>
      </w:r>
    </w:p>
    <w:p>
      <w:pPr>
        <w:pStyle w:val="Heading2"/>
        <w:spacing w:after="120" w:before="260"/>
      </w:pPr>
      <w:r>
        <w:rPr>
          <w:rFonts w:ascii="Cormorant Garamond" w:cs="Cormorant Garamond" w:eastAsia="Cormorant Garamond" w:hAnsi="Cormorant Garamond"/>
          <w:b/>
          <w:bCs/>
          <w:color w:val="6D4FC7"/>
          <w:sz w:val="27"/>
          <w:szCs w:val="27"/>
        </w:rPr>
        <w:t xml:space="preserve">Appendix B — DPIA Screening Checklist</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6550"/>
        <w:gridCol w:w="2800"/>
      </w:tblGrid>
      <w:tr>
        <w:trPr>
          <w:tblHeader/>
        </w:trPr>
        <w:tc>
          <w:tcPr>
            <w:tcW w:type="dxa" w:w="65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Trigger</w:t>
            </w:r>
          </w:p>
        </w:tc>
        <w:tc>
          <w:tcPr>
            <w:tcW w:type="dxa" w:w="28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Applies?</w:t>
            </w:r>
          </w:p>
        </w:tc>
      </w:tr>
      <w:tr>
        <w:tc>
          <w:tcPr>
            <w:tcW w:type="dxa" w:w="6550"/>
            <w:tcMar>
              <w:top w:type="dxa" w:w="90"/>
              <w:left w:type="dxa" w:w="110"/>
              <w:bottom w:type="dxa" w:w="90"/>
              <w:right w:type="dxa" w:w="110"/>
            </w:tcMar>
            <w:vAlign w:val="top"/>
          </w:tcPr>
          <w:p>
            <w:r>
              <w:rPr>
                <w:rFonts w:ascii="Jost" w:cs="Jost" w:eastAsia="Jost" w:hAnsi="Jost"/>
                <w:color w:val="1B2233"/>
                <w:sz w:val="21"/>
                <w:szCs w:val="21"/>
              </w:rPr>
              <w:t xml:space="preserve">Large-scale processing of special category (health/genetic) data</w:t>
            </w:r>
          </w:p>
        </w:tc>
        <w:tc>
          <w:tcPr>
            <w:tcW w:type="dxa" w:w="2800"/>
            <w:tcMar>
              <w:top w:type="dxa" w:w="90"/>
              <w:left w:type="dxa" w:w="110"/>
              <w:bottom w:type="dxa" w:w="90"/>
              <w:right w:type="dxa" w:w="110"/>
            </w:tcMar>
            <w:vAlign w:val="top"/>
          </w:tcPr>
          <w:p>
            <w:r>
              <w:rPr>
                <w:rFonts w:ascii="Jost" w:cs="Jost" w:eastAsia="Jost" w:hAnsi="Jost"/>
                <w:color w:val="1B2233"/>
                <w:sz w:val="21"/>
                <w:szCs w:val="21"/>
              </w:rPr>
              <w:t xml:space="preserve">Screen</w:t>
            </w:r>
          </w:p>
        </w:tc>
      </w:tr>
      <w:tr>
        <w:tc>
          <w:tcPr>
            <w:tcW w:type="dxa" w:w="6550"/>
            <w:shd w:fill="F3F5FA" w:val="clear"/>
            <w:tcMar>
              <w:top w:type="dxa" w:w="90"/>
              <w:left w:type="dxa" w:w="110"/>
              <w:bottom w:type="dxa" w:w="90"/>
              <w:right w:type="dxa" w:w="110"/>
            </w:tcMar>
            <w:vAlign w:val="top"/>
          </w:tcPr>
          <w:p>
            <w:r>
              <w:rPr>
                <w:rFonts w:ascii="Jost" w:cs="Jost" w:eastAsia="Jost" w:hAnsi="Jost"/>
                <w:color w:val="1B2233"/>
                <w:sz w:val="21"/>
                <w:szCs w:val="21"/>
              </w:rPr>
              <w:t xml:space="preserve">Systematic monitoring of data subjects (e.g., wearables, continuous safety monitoring)</w:t>
            </w:r>
          </w:p>
        </w:tc>
        <w:tc>
          <w:tcPr>
            <w:tcW w:type="dxa" w:w="2800"/>
            <w:shd w:fill="F3F5FA" w:val="clear"/>
            <w:tcMar>
              <w:top w:type="dxa" w:w="90"/>
              <w:left w:type="dxa" w:w="110"/>
              <w:bottom w:type="dxa" w:w="90"/>
              <w:right w:type="dxa" w:w="110"/>
            </w:tcMar>
            <w:vAlign w:val="top"/>
          </w:tcPr>
          <w:p>
            <w:r>
              <w:rPr>
                <w:rFonts w:ascii="Jost" w:cs="Jost" w:eastAsia="Jost" w:hAnsi="Jost"/>
                <w:color w:val="1B2233"/>
                <w:sz w:val="21"/>
                <w:szCs w:val="21"/>
              </w:rPr>
              <w:t xml:space="preserve">Screen</w:t>
            </w:r>
          </w:p>
        </w:tc>
      </w:tr>
      <w:tr>
        <w:tc>
          <w:tcPr>
            <w:tcW w:type="dxa" w:w="6550"/>
            <w:tcMar>
              <w:top w:type="dxa" w:w="90"/>
              <w:left w:type="dxa" w:w="110"/>
              <w:bottom w:type="dxa" w:w="90"/>
              <w:right w:type="dxa" w:w="110"/>
            </w:tcMar>
            <w:vAlign w:val="top"/>
          </w:tcPr>
          <w:p>
            <w:r>
              <w:rPr>
                <w:rFonts w:ascii="Jost" w:cs="Jost" w:eastAsia="Jost" w:hAnsi="Jost"/>
                <w:color w:val="1B2233"/>
                <w:sz w:val="21"/>
                <w:szCs w:val="21"/>
              </w:rPr>
              <w:t xml:space="preserve">Use of AI/automated processing affecting participant management (Cohort Intelligence™, Adaptive Dose™)</w:t>
            </w:r>
          </w:p>
        </w:tc>
        <w:tc>
          <w:tcPr>
            <w:tcW w:type="dxa" w:w="2800"/>
            <w:tcMar>
              <w:top w:type="dxa" w:w="90"/>
              <w:left w:type="dxa" w:w="110"/>
              <w:bottom w:type="dxa" w:w="90"/>
              <w:right w:type="dxa" w:w="110"/>
            </w:tcMar>
            <w:vAlign w:val="top"/>
          </w:tcPr>
          <w:p>
            <w:r>
              <w:rPr>
                <w:rFonts w:ascii="Jost" w:cs="Jost" w:eastAsia="Jost" w:hAnsi="Jost"/>
                <w:color w:val="1B2233"/>
                <w:sz w:val="21"/>
                <w:szCs w:val="21"/>
              </w:rPr>
              <w:t xml:space="preserve">Mandatory DPIA</w:t>
            </w:r>
          </w:p>
        </w:tc>
      </w:tr>
      <w:tr>
        <w:tc>
          <w:tcPr>
            <w:tcW w:type="dxa" w:w="65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Cross-border transfer to a country without an adequacy decision</w:t>
            </w:r>
          </w:p>
        </w:tc>
        <w:tc>
          <w:tcPr>
            <w:tcW w:type="dxa" w:w="2800"/>
            <w:shd w:fill="F3F5FA" w:val="clear"/>
            <w:tcMar>
              <w:top w:type="dxa" w:w="90"/>
              <w:left w:type="dxa" w:w="110"/>
              <w:bottom w:type="dxa" w:w="90"/>
              <w:right w:type="dxa" w:w="110"/>
            </w:tcMar>
            <w:vAlign w:val="top"/>
          </w:tcPr>
          <w:p>
            <w:r>
              <w:rPr>
                <w:rFonts w:ascii="Jost" w:cs="Jost" w:eastAsia="Jost" w:hAnsi="Jost"/>
                <w:color w:val="1B2233"/>
                <w:sz w:val="21"/>
                <w:szCs w:val="21"/>
              </w:rPr>
              <w:t xml:space="preserve">Screen</w:t>
            </w:r>
          </w:p>
        </w:tc>
      </w:tr>
      <w:tr>
        <w:tc>
          <w:tcPr>
            <w:tcW w:type="dxa" w:w="6550"/>
            <w:tcMar>
              <w:top w:type="dxa" w:w="90"/>
              <w:left w:type="dxa" w:w="110"/>
              <w:bottom w:type="dxa" w:w="90"/>
              <w:right w:type="dxa" w:w="110"/>
            </w:tcMar>
            <w:vAlign w:val="top"/>
          </w:tcPr>
          <w:p>
            <w:r>
              <w:rPr>
                <w:rFonts w:ascii="Jost" w:cs="Jost" w:eastAsia="Jost" w:hAnsi="Jost"/>
                <w:color w:val="1B2233"/>
                <w:sz w:val="21"/>
                <w:szCs w:val="21"/>
              </w:rPr>
              <w:t xml:space="preserve">Novel technology or processing method not previously assessed</w:t>
            </w:r>
          </w:p>
        </w:tc>
        <w:tc>
          <w:tcPr>
            <w:tcW w:type="dxa" w:w="2800"/>
            <w:tcMar>
              <w:top w:type="dxa" w:w="90"/>
              <w:left w:type="dxa" w:w="110"/>
              <w:bottom w:type="dxa" w:w="90"/>
              <w:right w:type="dxa" w:w="110"/>
            </w:tcMar>
            <w:vAlign w:val="top"/>
          </w:tcPr>
          <w:p>
            <w:r>
              <w:rPr>
                <w:rFonts w:ascii="Jost" w:cs="Jost" w:eastAsia="Jost" w:hAnsi="Jost"/>
                <w:color w:val="1B2233"/>
                <w:sz w:val="21"/>
                <w:szCs w:val="21"/>
              </w:rPr>
              <w:t xml:space="preserve">Screen</w:t>
            </w:r>
          </w:p>
        </w:tc>
      </w:tr>
      <w:tr>
        <w:tc>
          <w:tcPr>
            <w:tcW w:type="dxa" w:w="65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Combination/matching of datasets from different sources</w:t>
            </w:r>
          </w:p>
        </w:tc>
        <w:tc>
          <w:tcPr>
            <w:tcW w:type="dxa" w:w="2800"/>
            <w:shd w:fill="F3F5FA" w:val="clear"/>
            <w:tcMar>
              <w:top w:type="dxa" w:w="90"/>
              <w:left w:type="dxa" w:w="110"/>
              <w:bottom w:type="dxa" w:w="90"/>
              <w:right w:type="dxa" w:w="110"/>
            </w:tcMar>
            <w:vAlign w:val="top"/>
          </w:tcPr>
          <w:p>
            <w:r>
              <w:rPr>
                <w:rFonts w:ascii="Jost" w:cs="Jost" w:eastAsia="Jost" w:hAnsi="Jost"/>
                <w:color w:val="1B2233"/>
                <w:sz w:val="21"/>
                <w:szCs w:val="21"/>
              </w:rPr>
              <w:t xml:space="preserve">Screen</w:t>
            </w:r>
          </w:p>
        </w:tc>
      </w:tr>
    </w:tbl>
    <w:p>
      <w:pPr>
        <w:pStyle w:val="Heading2"/>
        <w:spacing w:after="120" w:before="260"/>
      </w:pPr>
      <w:r>
        <w:rPr>
          <w:rFonts w:ascii="Cormorant Garamond" w:cs="Cormorant Garamond" w:eastAsia="Cormorant Garamond" w:hAnsi="Cormorant Garamond"/>
          <w:b/>
          <w:bCs/>
          <w:color w:val="6D4FC7"/>
          <w:sz w:val="27"/>
          <w:szCs w:val="27"/>
        </w:rPr>
        <w:t xml:space="preserve">Appendix C — Data Retention Schedule</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3100"/>
        <w:gridCol w:w="3400"/>
        <w:gridCol w:w="2850"/>
      </w:tblGrid>
      <w:tr>
        <w:trPr>
          <w:tblHeader/>
        </w:trPr>
        <w:tc>
          <w:tcPr>
            <w:tcW w:type="dxa" w:w="31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Record Type</w:t>
            </w:r>
          </w:p>
        </w:tc>
        <w:tc>
          <w:tcPr>
            <w:tcW w:type="dxa" w:w="34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Minimum Retention</w:t>
            </w:r>
          </w:p>
        </w:tc>
        <w:tc>
          <w:tcPr>
            <w:tcW w:type="dxa" w:w="28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Basis</w:t>
            </w:r>
          </w:p>
        </w:tc>
      </w:tr>
      <w:tr>
        <w:tc>
          <w:tcPr>
            <w:tcW w:type="dxa" w:w="3100"/>
            <w:tcMar>
              <w:top w:type="dxa" w:w="90"/>
              <w:left w:type="dxa" w:w="110"/>
              <w:bottom w:type="dxa" w:w="90"/>
              <w:right w:type="dxa" w:w="110"/>
            </w:tcMar>
            <w:vAlign w:val="top"/>
          </w:tcPr>
          <w:p>
            <w:r>
              <w:rPr>
                <w:rFonts w:ascii="Jost" w:cs="Jost" w:eastAsia="Jost" w:hAnsi="Jost"/>
                <w:color w:val="1B2233"/>
                <w:sz w:val="21"/>
                <w:szCs w:val="21"/>
              </w:rPr>
              <w:t xml:space="preserve">Trial Master File / eTMF (source data, consent forms, CRFs)</w:t>
            </w:r>
          </w:p>
        </w:tc>
        <w:tc>
          <w:tcPr>
            <w:tcW w:type="dxa" w:w="3400"/>
            <w:tcMar>
              <w:top w:type="dxa" w:w="90"/>
              <w:left w:type="dxa" w:w="110"/>
              <w:bottom w:type="dxa" w:w="90"/>
              <w:right w:type="dxa" w:w="110"/>
            </w:tcMar>
            <w:vAlign w:val="top"/>
          </w:tcPr>
          <w:p>
            <w:r>
              <w:rPr>
                <w:rFonts w:ascii="Jost" w:cs="Jost" w:eastAsia="Jost" w:hAnsi="Jost"/>
                <w:color w:val="1B2233"/>
                <w:sz w:val="21"/>
                <w:szCs w:val="21"/>
              </w:rPr>
              <w:t xml:space="preserve">25 years post-trial completion (or per national law/Sponsor requirement, whichever longer)</w:t>
            </w:r>
          </w:p>
        </w:tc>
        <w:tc>
          <w:tcPr>
            <w:tcW w:type="dxa" w:w="2850"/>
            <w:tcMar>
              <w:top w:type="dxa" w:w="90"/>
              <w:left w:type="dxa" w:w="110"/>
              <w:bottom w:type="dxa" w:w="90"/>
              <w:right w:type="dxa" w:w="110"/>
            </w:tcMar>
            <w:vAlign w:val="top"/>
          </w:tcPr>
          <w:p>
            <w:r>
              <w:rPr>
                <w:rFonts w:ascii="Jost" w:cs="Jost" w:eastAsia="Jost" w:hAnsi="Jost"/>
                <w:color w:val="1B2233"/>
                <w:sz w:val="21"/>
                <w:szCs w:val="21"/>
              </w:rPr>
              <w:t xml:space="preserve">ICH E6(R3); EU CTR 536/2014 Art. 58; national implementing law</w:t>
            </w:r>
          </w:p>
        </w:tc>
      </w:tr>
      <w:tr>
        <w:tc>
          <w:tcPr>
            <w:tcW w:type="dxa" w:w="3100"/>
            <w:shd w:fill="F3F5FA" w:val="clear"/>
            <w:tcMar>
              <w:top w:type="dxa" w:w="90"/>
              <w:left w:type="dxa" w:w="110"/>
              <w:bottom w:type="dxa" w:w="90"/>
              <w:right w:type="dxa" w:w="110"/>
            </w:tcMar>
            <w:vAlign w:val="top"/>
          </w:tcPr>
          <w:p>
            <w:r>
              <w:rPr>
                <w:rFonts w:ascii="Jost" w:cs="Jost" w:eastAsia="Jost" w:hAnsi="Jost"/>
                <w:color w:val="1B2233"/>
                <w:sz w:val="21"/>
                <w:szCs w:val="21"/>
              </w:rPr>
              <w:t xml:space="preserve">IND-related records (US trials)</w:t>
            </w:r>
          </w:p>
        </w:tc>
        <w:tc>
          <w:tcPr>
            <w:tcW w:type="dxa" w:w="3400"/>
            <w:shd w:fill="F3F5FA" w:val="clear"/>
            <w:tcMar>
              <w:top w:type="dxa" w:w="90"/>
              <w:left w:type="dxa" w:w="110"/>
              <w:bottom w:type="dxa" w:w="90"/>
              <w:right w:type="dxa" w:w="110"/>
            </w:tcMar>
            <w:vAlign w:val="top"/>
          </w:tcPr>
          <w:p>
            <w:r>
              <w:rPr>
                <w:rFonts w:ascii="Jost" w:cs="Jost" w:eastAsia="Jost" w:hAnsi="Jost"/>
                <w:color w:val="1B2233"/>
                <w:sz w:val="21"/>
                <w:szCs w:val="21"/>
              </w:rPr>
              <w:t xml:space="preserve">2 years after marketing application approval, or if not approved, 2 years after investigation discontinued</w:t>
            </w:r>
          </w:p>
        </w:tc>
        <w:tc>
          <w:tcPr>
            <w:tcW w:type="dxa" w:w="2850"/>
            <w:shd w:fill="F3F5FA" w:val="clear"/>
            <w:tcMar>
              <w:top w:type="dxa" w:w="90"/>
              <w:left w:type="dxa" w:w="110"/>
              <w:bottom w:type="dxa" w:w="90"/>
              <w:right w:type="dxa" w:w="110"/>
            </w:tcMar>
            <w:vAlign w:val="top"/>
          </w:tcPr>
          <w:p>
            <w:r>
              <w:rPr>
                <w:rFonts w:ascii="Jost" w:cs="Jost" w:eastAsia="Jost" w:hAnsi="Jost"/>
                <w:color w:val="1B2233"/>
                <w:sz w:val="21"/>
                <w:szCs w:val="21"/>
              </w:rPr>
              <w:t xml:space="preserve">21 CFR 312.62</w:t>
            </w:r>
          </w:p>
        </w:tc>
      </w:tr>
      <w:tr>
        <w:tc>
          <w:tcPr>
            <w:tcW w:type="dxa" w:w="3100"/>
            <w:tcMar>
              <w:top w:type="dxa" w:w="90"/>
              <w:left w:type="dxa" w:w="110"/>
              <w:bottom w:type="dxa" w:w="90"/>
              <w:right w:type="dxa" w:w="110"/>
            </w:tcMar>
            <w:vAlign w:val="top"/>
          </w:tcPr>
          <w:p>
            <w:r>
              <w:rPr>
                <w:rFonts w:ascii="Jost" w:cs="Jost" w:eastAsia="Jost" w:hAnsi="Jost"/>
                <w:color w:val="1B2233"/>
                <w:sz w:val="21"/>
                <w:szCs w:val="21"/>
              </w:rPr>
              <w:t xml:space="preserve">Safety data (AE/SAE/SUSAR)</w:t>
            </w:r>
          </w:p>
        </w:tc>
        <w:tc>
          <w:tcPr>
            <w:tcW w:type="dxa" w:w="3400"/>
            <w:tcMar>
              <w:top w:type="dxa" w:w="90"/>
              <w:left w:type="dxa" w:w="110"/>
              <w:bottom w:type="dxa" w:w="90"/>
              <w:right w:type="dxa" w:w="110"/>
            </w:tcMar>
            <w:vAlign w:val="top"/>
          </w:tcPr>
          <w:p>
            <w:r>
              <w:rPr>
                <w:rFonts w:ascii="Jost" w:cs="Jost" w:eastAsia="Jost" w:hAnsi="Jost"/>
                <w:color w:val="1B2233"/>
                <w:sz w:val="21"/>
                <w:szCs w:val="21"/>
              </w:rPr>
              <w:t xml:space="preserve">Per TMF retention above; case-level minimization applied for cross-border transmission</w:t>
            </w:r>
          </w:p>
        </w:tc>
        <w:tc>
          <w:tcPr>
            <w:tcW w:type="dxa" w:w="2850"/>
            <w:tcMar>
              <w:top w:type="dxa" w:w="90"/>
              <w:left w:type="dxa" w:w="110"/>
              <w:bottom w:type="dxa" w:w="90"/>
              <w:right w:type="dxa" w:w="110"/>
            </w:tcMar>
            <w:vAlign w:val="top"/>
          </w:tcPr>
          <w:p>
            <w:r>
              <w:rPr>
                <w:rFonts w:ascii="Jost" w:cs="Jost" w:eastAsia="Jost" w:hAnsi="Jost"/>
                <w:color w:val="1B2233"/>
                <w:sz w:val="21"/>
                <w:szCs w:val="21"/>
              </w:rPr>
              <w:t xml:space="preserve">ICH E2A/E2B(R3)</w:t>
            </w:r>
          </w:p>
        </w:tc>
      </w:tr>
      <w:tr>
        <w:tc>
          <w:tcPr>
            <w:tcW w:type="dxa" w:w="3100"/>
            <w:shd w:fill="F3F5FA" w:val="clear"/>
            <w:tcMar>
              <w:top w:type="dxa" w:w="90"/>
              <w:left w:type="dxa" w:w="110"/>
              <w:bottom w:type="dxa" w:w="90"/>
              <w:right w:type="dxa" w:w="110"/>
            </w:tcMar>
            <w:vAlign w:val="top"/>
          </w:tcPr>
          <w:p>
            <w:r>
              <w:rPr>
                <w:rFonts w:ascii="Jost" w:cs="Jost" w:eastAsia="Jost" w:hAnsi="Jost"/>
                <w:color w:val="1B2233"/>
                <w:sz w:val="21"/>
                <w:szCs w:val="21"/>
              </w:rPr>
              <w:t xml:space="preserve">DPIAs, ROPA, DPAs/SCCs, breach logs</w:t>
            </w:r>
          </w:p>
        </w:tc>
        <w:tc>
          <w:tcPr>
            <w:tcW w:type="dxa" w:w="3400"/>
            <w:shd w:fill="F3F5FA" w:val="clear"/>
            <w:tcMar>
              <w:top w:type="dxa" w:w="90"/>
              <w:left w:type="dxa" w:w="110"/>
              <w:bottom w:type="dxa" w:w="90"/>
              <w:right w:type="dxa" w:w="110"/>
            </w:tcMar>
            <w:vAlign w:val="top"/>
          </w:tcPr>
          <w:p>
            <w:r>
              <w:rPr>
                <w:rFonts w:ascii="Jost" w:cs="Jost" w:eastAsia="Jost" w:hAnsi="Jost"/>
                <w:color w:val="1B2233"/>
                <w:sz w:val="21"/>
                <w:szCs w:val="21"/>
              </w:rPr>
              <w:t xml:space="preserve">Life of study + applicable regulatory retention period</w:t>
            </w:r>
          </w:p>
        </w:tc>
        <w:tc>
          <w:tcPr>
            <w:tcW w:type="dxa" w:w="2850"/>
            <w:shd w:fill="F3F5FA" w:val="clear"/>
            <w:tcMar>
              <w:top w:type="dxa" w:w="90"/>
              <w:left w:type="dxa" w:w="110"/>
              <w:bottom w:type="dxa" w:w="90"/>
              <w:right w:type="dxa" w:w="110"/>
            </w:tcMar>
            <w:vAlign w:val="top"/>
          </w:tcPr>
          <w:p>
            <w:r>
              <w:rPr>
                <w:rFonts w:ascii="Jost" w:cs="Jost" w:eastAsia="Jost" w:hAnsi="Jost"/>
                <w:color w:val="1B2233"/>
                <w:sz w:val="21"/>
                <w:szCs w:val="21"/>
              </w:rPr>
              <w:t xml:space="preserve">GDPR Art. 5(2) accountability; Art. 30</w:t>
            </w:r>
          </w:p>
        </w:tc>
      </w:tr>
    </w:tbl>
    <w:p>
      <w:pPr>
        <w:pStyle w:val="Heading2"/>
        <w:spacing w:after="120" w:before="260"/>
      </w:pPr>
      <w:r>
        <w:rPr>
          <w:rFonts w:ascii="Cormorant Garamond" w:cs="Cormorant Garamond" w:eastAsia="Cormorant Garamond" w:hAnsi="Cormorant Garamond"/>
          <w:b/>
          <w:bCs/>
          <w:color w:val="6D4FC7"/>
          <w:sz w:val="27"/>
          <w:szCs w:val="27"/>
        </w:rPr>
        <w:t xml:space="preserve">Appendix D — International Transfer Decision Tree</w:t>
      </w:r>
    </w:p>
    <w:p>
      <w:pPr>
        <w:pStyle w:val="ListParagraph"/>
        <w:numPr>
          <w:ilvl w:val="0"/>
          <w:numId w:val="2"/>
        </w:numPr>
        <w:spacing w:after="80"/>
      </w:pPr>
      <w:r>
        <w:rPr>
          <w:rFonts w:ascii="Jost" w:cs="Jost" w:eastAsia="Jost" w:hAnsi="Jost"/>
          <w:b/>
          <w:bCs/>
          <w:color w:val="0A0E1C"/>
          <w:sz w:val="21"/>
          <w:szCs w:val="21"/>
        </w:rPr>
        <w:t xml:space="preserve">1. Adequacy Decision? </w:t>
      </w:r>
      <w:r>
        <w:rPr>
          <w:rFonts w:ascii="Jost" w:cs="Jost" w:eastAsia="Jost" w:hAnsi="Jost"/>
          <w:color w:val="1B2233"/>
          <w:sz w:val="21"/>
          <w:szCs w:val="21"/>
        </w:rPr>
        <w:t xml:space="preserve">Check current European Commission adequacy list (e.g., EU–U.S. Data Privacy Framework).</w:t>
      </w:r>
    </w:p>
    <w:p>
      <w:pPr>
        <w:pStyle w:val="ListParagraph"/>
        <w:numPr>
          <w:ilvl w:val="0"/>
          <w:numId w:val="2"/>
        </w:numPr>
        <w:spacing w:after="80"/>
      </w:pPr>
      <w:r>
        <w:rPr>
          <w:rFonts w:ascii="Jost" w:cs="Jost" w:eastAsia="Jost" w:hAnsi="Jost"/>
          <w:b/>
          <w:bCs/>
          <w:color w:val="0A0E1C"/>
          <w:sz w:val="21"/>
          <w:szCs w:val="21"/>
        </w:rPr>
        <w:t xml:space="preserve">2. SCCs Executed? </w:t>
      </w:r>
      <w:r>
        <w:rPr>
          <w:rFonts w:ascii="Jost" w:cs="Jost" w:eastAsia="Jost" w:hAnsi="Jost"/>
          <w:color w:val="1B2233"/>
          <w:sz w:val="21"/>
          <w:szCs w:val="21"/>
        </w:rPr>
        <w:t xml:space="preserve">If no adequacy decision, execute the 2021 modular Standard Contractual Clauses.</w:t>
      </w:r>
    </w:p>
    <w:p>
      <w:pPr>
        <w:pStyle w:val="ListParagraph"/>
        <w:numPr>
          <w:ilvl w:val="0"/>
          <w:numId w:val="2"/>
        </w:numPr>
        <w:spacing w:after="80"/>
      </w:pPr>
      <w:r>
        <w:rPr>
          <w:rFonts w:ascii="Jost" w:cs="Jost" w:eastAsia="Jost" w:hAnsi="Jost"/>
          <w:b/>
          <w:bCs/>
          <w:color w:val="0A0E1C"/>
          <w:sz w:val="21"/>
          <w:szCs w:val="21"/>
        </w:rPr>
        <w:t xml:space="preserve">3. Transfer Impact Assessment </w:t>
      </w:r>
      <w:r>
        <w:rPr>
          <w:rFonts w:ascii="Jost" w:cs="Jost" w:eastAsia="Jost" w:hAnsi="Jost"/>
          <w:color w:val="1B2233"/>
          <w:sz w:val="21"/>
          <w:szCs w:val="21"/>
        </w:rPr>
        <w:t xml:space="preserve">Document supplementary measures (encryption, pseudonymization) per post-Schrems II guidance.</w:t>
      </w:r>
    </w:p>
    <w:p>
      <w:pPr>
        <w:pStyle w:val="ListParagraph"/>
        <w:numPr>
          <w:ilvl w:val="0"/>
          <w:numId w:val="2"/>
        </w:numPr>
        <w:spacing w:after="80"/>
      </w:pPr>
      <w:r>
        <w:rPr>
          <w:rFonts w:ascii="Jost" w:cs="Jost" w:eastAsia="Jost" w:hAnsi="Jost"/>
          <w:b/>
          <w:bCs/>
          <w:color w:val="0A0E1C"/>
          <w:sz w:val="21"/>
          <w:szCs w:val="21"/>
        </w:rPr>
        <w:t xml:space="preserve">4. Transfer Authorized </w:t>
      </w:r>
      <w:r>
        <w:rPr>
          <w:rFonts w:ascii="Jost" w:cs="Jost" w:eastAsia="Jost" w:hAnsi="Jost"/>
          <w:color w:val="1B2233"/>
          <w:sz w:val="21"/>
          <w:szCs w:val="21"/>
        </w:rPr>
        <w:t xml:space="preserve">Log mechanism reference in the ROPA. If Adequacy = No and SCCs cannot be executed, escalate to DPO to evaluate an Art. 49 derogation on an exceptional, documented basis.</w:t>
      </w:r>
    </w:p>
    <w:p>
      <w:pPr>
        <w:pStyle w:val="Heading2"/>
        <w:spacing w:after="120" w:before="260"/>
      </w:pPr>
      <w:r>
        <w:rPr>
          <w:rFonts w:ascii="Cormorant Garamond" w:cs="Cormorant Garamond" w:eastAsia="Cormorant Garamond" w:hAnsi="Cormorant Garamond"/>
          <w:b/>
          <w:bCs/>
          <w:color w:val="6D4FC7"/>
          <w:sz w:val="27"/>
          <w:szCs w:val="27"/>
        </w:rPr>
        <w:t xml:space="preserve">Appendix E — Breach Notification Timeline</w:t>
      </w:r>
    </w:p>
    <w:p>
      <w:pPr>
        <w:spacing w:after="140"/>
      </w:pPr>
      <w:r>
        <w:rPr>
          <w:rFonts w:ascii="Jost" w:cs="Jost" w:eastAsia="Jost" w:hAnsi="Jost"/>
          <w:color w:val="1B2233"/>
          <w:sz w:val="21"/>
          <w:szCs w:val="21"/>
        </w:rPr>
        <w:t xml:space="preserve">See the 0h → 24h → 72h → high-risk notification timeline detailed in Section 7.10.</w:t>
      </w:r>
    </w:p>
    <w:p>
      <w:pPr>
        <w:pStyle w:val="Heading2"/>
        <w:spacing w:after="120" w:before="260"/>
      </w:pPr>
      <w:r>
        <w:rPr>
          <w:rFonts w:ascii="Cormorant Garamond" w:cs="Cormorant Garamond" w:eastAsia="Cormorant Garamond" w:hAnsi="Cormorant Garamond"/>
          <w:b/>
          <w:bCs/>
          <w:color w:val="6D4FC7"/>
          <w:sz w:val="27"/>
          <w:szCs w:val="27"/>
        </w:rPr>
        <w:t xml:space="preserve">Appendix F — Regulatory Crosswalk</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2350"/>
        <w:gridCol w:w="2350"/>
        <w:gridCol w:w="2350"/>
        <w:gridCol w:w="2300"/>
      </w:tblGrid>
      <w:tr>
        <w:trPr>
          <w:tblHeader/>
        </w:trPr>
        <w:tc>
          <w:tcPr>
            <w:tcW w:type="dxa" w:w="23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Topic</w:t>
            </w:r>
          </w:p>
        </w:tc>
        <w:tc>
          <w:tcPr>
            <w:tcW w:type="dxa" w:w="23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GDPR</w:t>
            </w:r>
          </w:p>
        </w:tc>
        <w:tc>
          <w:tcPr>
            <w:tcW w:type="dxa" w:w="23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FDA (US)</w:t>
            </w:r>
          </w:p>
        </w:tc>
        <w:tc>
          <w:tcPr>
            <w:tcW w:type="dxa" w:w="23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EMA (EU)</w:t>
            </w:r>
          </w:p>
        </w:tc>
      </w:tr>
      <w:tr>
        <w:tc>
          <w:tcPr>
            <w:tcW w:type="dxa" w:w="2350"/>
            <w:tcMar>
              <w:top w:type="dxa" w:w="90"/>
              <w:left w:type="dxa" w:w="110"/>
              <w:bottom w:type="dxa" w:w="90"/>
              <w:right w:type="dxa" w:w="110"/>
            </w:tcMar>
            <w:vAlign w:val="top"/>
          </w:tcPr>
          <w:p>
            <w:r>
              <w:rPr>
                <w:rFonts w:ascii="Jost" w:cs="Jost" w:eastAsia="Jost" w:hAnsi="Jost"/>
                <w:color w:val="1B2233"/>
                <w:sz w:val="21"/>
                <w:szCs w:val="21"/>
              </w:rPr>
              <w:t xml:space="preserve">Consent / participation</w:t>
            </w:r>
          </w:p>
        </w:tc>
        <w:tc>
          <w:tcPr>
            <w:tcW w:type="dxa" w:w="2350"/>
            <w:tcMar>
              <w:top w:type="dxa" w:w="90"/>
              <w:left w:type="dxa" w:w="110"/>
              <w:bottom w:type="dxa" w:w="90"/>
              <w:right w:type="dxa" w:w="110"/>
            </w:tcMar>
            <w:vAlign w:val="top"/>
          </w:tcPr>
          <w:p>
            <w:r>
              <w:rPr>
                <w:rFonts w:ascii="Jost" w:cs="Jost" w:eastAsia="Jost" w:hAnsi="Jost"/>
                <w:color w:val="1B2233"/>
                <w:sz w:val="21"/>
                <w:szCs w:val="21"/>
              </w:rPr>
              <w:t xml:space="preserve">Art. 6/9 + Art. 13/14</w:t>
            </w:r>
          </w:p>
        </w:tc>
        <w:tc>
          <w:tcPr>
            <w:tcW w:type="dxa" w:w="2350"/>
            <w:tcMar>
              <w:top w:type="dxa" w:w="90"/>
              <w:left w:type="dxa" w:w="110"/>
              <w:bottom w:type="dxa" w:w="90"/>
              <w:right w:type="dxa" w:w="110"/>
            </w:tcMar>
            <w:vAlign w:val="top"/>
          </w:tcPr>
          <w:p>
            <w:r>
              <w:rPr>
                <w:rFonts w:ascii="Jost" w:cs="Jost" w:eastAsia="Jost" w:hAnsi="Jost"/>
                <w:color w:val="1B2233"/>
                <w:sz w:val="21"/>
                <w:szCs w:val="21"/>
              </w:rPr>
              <w:t xml:space="preserve">21 CFR Part 50</w:t>
            </w:r>
          </w:p>
        </w:tc>
        <w:tc>
          <w:tcPr>
            <w:tcW w:type="dxa" w:w="2300"/>
            <w:tcMar>
              <w:top w:type="dxa" w:w="90"/>
              <w:left w:type="dxa" w:w="110"/>
              <w:bottom w:type="dxa" w:w="90"/>
              <w:right w:type="dxa" w:w="110"/>
            </w:tcMar>
            <w:vAlign w:val="top"/>
          </w:tcPr>
          <w:p>
            <w:r>
              <w:rPr>
                <w:rFonts w:ascii="Jost" w:cs="Jost" w:eastAsia="Jost" w:hAnsi="Jost"/>
                <w:color w:val="1B2233"/>
                <w:sz w:val="21"/>
                <w:szCs w:val="21"/>
              </w:rPr>
              <w:t xml:space="preserve">EU CTR 536/2014; ICH E6(R3)</w:t>
            </w:r>
          </w:p>
        </w:tc>
      </w:tr>
      <w:tr>
        <w:tc>
          <w:tcPr>
            <w:tcW w:type="dxa" w:w="2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Electronic records integrity</w:t>
            </w:r>
          </w:p>
        </w:tc>
        <w:tc>
          <w:tcPr>
            <w:tcW w:type="dxa" w:w="2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Art. 5(1)(f), Art. 32</w:t>
            </w:r>
          </w:p>
        </w:tc>
        <w:tc>
          <w:tcPr>
            <w:tcW w:type="dxa" w:w="2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21 CFR Part 11</w:t>
            </w:r>
          </w:p>
        </w:tc>
        <w:tc>
          <w:tcPr>
            <w:tcW w:type="dxa" w:w="2300"/>
            <w:shd w:fill="F3F5FA" w:val="clear"/>
            <w:tcMar>
              <w:top w:type="dxa" w:w="90"/>
              <w:left w:type="dxa" w:w="110"/>
              <w:bottom w:type="dxa" w:w="90"/>
              <w:right w:type="dxa" w:w="110"/>
            </w:tcMar>
            <w:vAlign w:val="top"/>
          </w:tcPr>
          <w:p>
            <w:r>
              <w:rPr>
                <w:rFonts w:ascii="Jost" w:cs="Jost" w:eastAsia="Jost" w:hAnsi="Jost"/>
                <w:color w:val="1B2233"/>
                <w:sz w:val="21"/>
                <w:szCs w:val="21"/>
              </w:rPr>
              <w:t xml:space="preserve">EudraLex Vol. 4 Annex 11; ICH E6(R3)</w:t>
            </w:r>
          </w:p>
        </w:tc>
      </w:tr>
      <w:tr>
        <w:tc>
          <w:tcPr>
            <w:tcW w:type="dxa" w:w="2350"/>
            <w:tcMar>
              <w:top w:type="dxa" w:w="90"/>
              <w:left w:type="dxa" w:w="110"/>
              <w:bottom w:type="dxa" w:w="90"/>
              <w:right w:type="dxa" w:w="110"/>
            </w:tcMar>
            <w:vAlign w:val="top"/>
          </w:tcPr>
          <w:p>
            <w:r>
              <w:rPr>
                <w:rFonts w:ascii="Jost" w:cs="Jost" w:eastAsia="Jost" w:hAnsi="Jost"/>
                <w:color w:val="1B2233"/>
                <w:sz w:val="21"/>
                <w:szCs w:val="21"/>
              </w:rPr>
              <w:t xml:space="preserve">Investigator data</w:t>
            </w:r>
          </w:p>
        </w:tc>
        <w:tc>
          <w:tcPr>
            <w:tcW w:type="dxa" w:w="2350"/>
            <w:tcMar>
              <w:top w:type="dxa" w:w="90"/>
              <w:left w:type="dxa" w:w="110"/>
              <w:bottom w:type="dxa" w:w="90"/>
              <w:right w:type="dxa" w:w="110"/>
            </w:tcMar>
            <w:vAlign w:val="top"/>
          </w:tcPr>
          <w:p>
            <w:r>
              <w:rPr>
                <w:rFonts w:ascii="Jost" w:cs="Jost" w:eastAsia="Jost" w:hAnsi="Jost"/>
                <w:color w:val="1B2233"/>
                <w:sz w:val="21"/>
                <w:szCs w:val="21"/>
              </w:rPr>
              <w:t xml:space="preserve">Art. 6(1)(f)</w:t>
            </w:r>
          </w:p>
        </w:tc>
        <w:tc>
          <w:tcPr>
            <w:tcW w:type="dxa" w:w="2350"/>
            <w:tcMar>
              <w:top w:type="dxa" w:w="90"/>
              <w:left w:type="dxa" w:w="110"/>
              <w:bottom w:type="dxa" w:w="90"/>
              <w:right w:type="dxa" w:w="110"/>
            </w:tcMar>
            <w:vAlign w:val="top"/>
          </w:tcPr>
          <w:p>
            <w:r>
              <w:rPr>
                <w:rFonts w:ascii="Jost" w:cs="Jost" w:eastAsia="Jost" w:hAnsi="Jost"/>
                <w:color w:val="1B2233"/>
                <w:sz w:val="21"/>
                <w:szCs w:val="21"/>
              </w:rPr>
              <w:t xml:space="preserve">21 CFR Part 54</w:t>
            </w:r>
          </w:p>
        </w:tc>
        <w:tc>
          <w:tcPr>
            <w:tcW w:type="dxa" w:w="2300"/>
            <w:tcMar>
              <w:top w:type="dxa" w:w="90"/>
              <w:left w:type="dxa" w:w="110"/>
              <w:bottom w:type="dxa" w:w="90"/>
              <w:right w:type="dxa" w:w="110"/>
            </w:tcMar>
            <w:vAlign w:val="top"/>
          </w:tcPr>
          <w:p>
            <w:r>
              <w:rPr>
                <w:rFonts w:ascii="Jost" w:cs="Jost" w:eastAsia="Jost" w:hAnsi="Jost"/>
                <w:color w:val="1B2233"/>
                <w:sz w:val="21"/>
                <w:szCs w:val="21"/>
              </w:rPr>
              <w:t xml:space="preserve">CTIS transparency publication rules</w:t>
            </w:r>
          </w:p>
        </w:tc>
      </w:tr>
      <w:tr>
        <w:tc>
          <w:tcPr>
            <w:tcW w:type="dxa" w:w="2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Structured protocol authoring</w:t>
            </w:r>
          </w:p>
        </w:tc>
        <w:tc>
          <w:tcPr>
            <w:tcW w:type="dxa" w:w="2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Data protection section required</w:t>
            </w:r>
          </w:p>
        </w:tc>
        <w:tc>
          <w:tcPr>
            <w:tcW w:type="dxa" w:w="2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ICH M11 CeSHarP</w:t>
            </w:r>
          </w:p>
        </w:tc>
        <w:tc>
          <w:tcPr>
            <w:tcW w:type="dxa" w:w="2300"/>
            <w:shd w:fill="F3F5FA" w:val="clear"/>
            <w:tcMar>
              <w:top w:type="dxa" w:w="90"/>
              <w:left w:type="dxa" w:w="110"/>
              <w:bottom w:type="dxa" w:w="90"/>
              <w:right w:type="dxa" w:w="110"/>
            </w:tcMar>
            <w:vAlign w:val="top"/>
          </w:tcPr>
          <w:p>
            <w:r>
              <w:rPr>
                <w:rFonts w:ascii="Jost" w:cs="Jost" w:eastAsia="Jost" w:hAnsi="Jost"/>
                <w:color w:val="1B2233"/>
                <w:sz w:val="21"/>
                <w:szCs w:val="21"/>
              </w:rPr>
              <w:t xml:space="preserve">ICH M11 CeSHarP</w:t>
            </w:r>
          </w:p>
        </w:tc>
      </w:tr>
      <w:tr>
        <w:tc>
          <w:tcPr>
            <w:tcW w:type="dxa" w:w="2350"/>
            <w:tcMar>
              <w:top w:type="dxa" w:w="90"/>
              <w:left w:type="dxa" w:w="110"/>
              <w:bottom w:type="dxa" w:w="90"/>
              <w:right w:type="dxa" w:w="110"/>
            </w:tcMar>
            <w:vAlign w:val="top"/>
          </w:tcPr>
          <w:p>
            <w:r>
              <w:rPr>
                <w:rFonts w:ascii="Jost" w:cs="Jost" w:eastAsia="Jost" w:hAnsi="Jost"/>
                <w:color w:val="1B2233"/>
                <w:sz w:val="21"/>
                <w:szCs w:val="21"/>
              </w:rPr>
              <w:t xml:space="preserve">Central submission portal</w:t>
            </w:r>
          </w:p>
        </w:tc>
        <w:tc>
          <w:tcPr>
            <w:tcW w:type="dxa" w:w="2350"/>
            <w:tcMar>
              <w:top w:type="dxa" w:w="90"/>
              <w:left w:type="dxa" w:w="110"/>
              <w:bottom w:type="dxa" w:w="90"/>
              <w:right w:type="dxa" w:w="110"/>
            </w:tcMar>
            <w:vAlign w:val="top"/>
          </w:tcPr>
          <w:p>
            <w:r>
              <w:rPr>
                <w:rFonts w:ascii="Jost" w:cs="Jost" w:eastAsia="Jost" w:hAnsi="Jost"/>
                <w:color w:val="1B2233"/>
                <w:sz w:val="21"/>
                <w:szCs w:val="21"/>
              </w:rPr>
              <w:t xml:space="preserve">Public-layer data minimization</w:t>
            </w:r>
          </w:p>
        </w:tc>
        <w:tc>
          <w:tcPr>
            <w:tcW w:type="dxa" w:w="2350"/>
            <w:tcMar>
              <w:top w:type="dxa" w:w="90"/>
              <w:left w:type="dxa" w:w="110"/>
              <w:bottom w:type="dxa" w:w="90"/>
              <w:right w:type="dxa" w:w="110"/>
            </w:tcMar>
            <w:vAlign w:val="top"/>
          </w:tcPr>
          <w:p>
            <w:r>
              <w:rPr>
                <w:rFonts w:ascii="Jost" w:cs="Jost" w:eastAsia="Jost" w:hAnsi="Jost"/>
                <w:color w:val="1B2233"/>
                <w:sz w:val="21"/>
                <w:szCs w:val="21"/>
              </w:rPr>
              <w:t xml:space="preserve">N/A (IND via FDA ESG)</w:t>
            </w:r>
          </w:p>
        </w:tc>
        <w:tc>
          <w:tcPr>
            <w:tcW w:type="dxa" w:w="2300"/>
            <w:tcMar>
              <w:top w:type="dxa" w:w="90"/>
              <w:left w:type="dxa" w:w="110"/>
              <w:bottom w:type="dxa" w:w="90"/>
              <w:right w:type="dxa" w:w="110"/>
            </w:tcMar>
            <w:vAlign w:val="top"/>
          </w:tcPr>
          <w:p>
            <w:r>
              <w:rPr>
                <w:rFonts w:ascii="Jost" w:cs="Jost" w:eastAsia="Jost" w:hAnsi="Jost"/>
                <w:color w:val="1B2233"/>
                <w:sz w:val="21"/>
                <w:szCs w:val="21"/>
              </w:rPr>
              <w:t xml:space="preserve">CTIS</w:t>
            </w:r>
          </w:p>
        </w:tc>
      </w:tr>
      <w:tr>
        <w:tc>
          <w:tcPr>
            <w:tcW w:type="dxa" w:w="2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Safety reporting</w:t>
            </w:r>
          </w:p>
        </w:tc>
        <w:tc>
          <w:tcPr>
            <w:tcW w:type="dxa" w:w="2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Case-level data minimization</w:t>
            </w:r>
          </w:p>
        </w:tc>
        <w:tc>
          <w:tcPr>
            <w:tcW w:type="dxa" w:w="2350"/>
            <w:shd w:fill="F3F5FA" w:val="clear"/>
            <w:tcMar>
              <w:top w:type="dxa" w:w="90"/>
              <w:left w:type="dxa" w:w="110"/>
              <w:bottom w:type="dxa" w:w="90"/>
              <w:right w:type="dxa" w:w="110"/>
            </w:tcMar>
            <w:vAlign w:val="top"/>
          </w:tcPr>
          <w:p>
            <w:r>
              <w:rPr>
                <w:rFonts w:ascii="Jost" w:cs="Jost" w:eastAsia="Jost" w:hAnsi="Jost"/>
                <w:color w:val="1B2233"/>
                <w:sz w:val="21"/>
                <w:szCs w:val="21"/>
              </w:rPr>
              <w:t xml:space="preserve">21 CFR 312.32; IND Safety Reports</w:t>
            </w:r>
          </w:p>
        </w:tc>
        <w:tc>
          <w:tcPr>
            <w:tcW w:type="dxa" w:w="2300"/>
            <w:shd w:fill="F3F5FA" w:val="clear"/>
            <w:tcMar>
              <w:top w:type="dxa" w:w="90"/>
              <w:left w:type="dxa" w:w="110"/>
              <w:bottom w:type="dxa" w:w="90"/>
              <w:right w:type="dxa" w:w="110"/>
            </w:tcMar>
            <w:vAlign w:val="top"/>
          </w:tcPr>
          <w:p>
            <w:r>
              <w:rPr>
                <w:rFonts w:ascii="Jost" w:cs="Jost" w:eastAsia="Jost" w:hAnsi="Jost"/>
                <w:color w:val="1B2233"/>
                <w:sz w:val="21"/>
                <w:szCs w:val="21"/>
              </w:rPr>
              <w:t xml:space="preserve">EudraVigilance / national DPAs</w:t>
            </w:r>
          </w:p>
        </w:tc>
      </w:tr>
    </w:tbl>
    <w:p>
      <w:pPr>
        <w:pStyle w:val="Heading2"/>
        <w:spacing w:after="120" w:before="260"/>
      </w:pPr>
      <w:r>
        <w:rPr>
          <w:rFonts w:ascii="Cormorant Garamond" w:cs="Cormorant Garamond" w:eastAsia="Cormorant Garamond" w:hAnsi="Cormorant Garamond"/>
          <w:b/>
          <w:bCs/>
          <w:color w:val="6D4FC7"/>
          <w:sz w:val="27"/>
          <w:szCs w:val="27"/>
        </w:rPr>
        <w:t xml:space="preserve">Appendix G — Revision History</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1200"/>
        <w:gridCol w:w="1600"/>
        <w:gridCol w:w="4400"/>
        <w:gridCol w:w="2150"/>
      </w:tblGrid>
      <w:tr>
        <w:trPr>
          <w:tblHeader/>
        </w:trPr>
        <w:tc>
          <w:tcPr>
            <w:tcW w:type="dxa" w:w="12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Version</w:t>
            </w:r>
          </w:p>
        </w:tc>
        <w:tc>
          <w:tcPr>
            <w:tcW w:type="dxa" w:w="16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Date</w:t>
            </w:r>
          </w:p>
        </w:tc>
        <w:tc>
          <w:tcPr>
            <w:tcW w:type="dxa" w:w="44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Description of Change</w:t>
            </w:r>
          </w:p>
        </w:tc>
        <w:tc>
          <w:tcPr>
            <w:tcW w:type="dxa" w:w="21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Author</w:t>
            </w:r>
          </w:p>
        </w:tc>
      </w:tr>
      <w:tr>
        <w:tc>
          <w:tcPr>
            <w:tcW w:type="dxa" w:w="1200"/>
            <w:tcMar>
              <w:top w:type="dxa" w:w="90"/>
              <w:left w:type="dxa" w:w="110"/>
              <w:bottom w:type="dxa" w:w="90"/>
              <w:right w:type="dxa" w:w="110"/>
            </w:tcMar>
            <w:vAlign w:val="top"/>
          </w:tcPr>
          <w:p>
            <w:r>
              <w:rPr>
                <w:rFonts w:ascii="Jost" w:cs="Jost" w:eastAsia="Jost" w:hAnsi="Jost"/>
                <w:color w:val="1B2233"/>
                <w:sz w:val="21"/>
                <w:szCs w:val="21"/>
              </w:rPr>
              <w:t xml:space="preserve">1.0</w:t>
            </w:r>
          </w:p>
        </w:tc>
        <w:tc>
          <w:tcPr>
            <w:tcW w:type="dxa" w:w="1600"/>
            <w:tcMar>
              <w:top w:type="dxa" w:w="90"/>
              <w:left w:type="dxa" w:w="110"/>
              <w:bottom w:type="dxa" w:w="90"/>
              <w:right w:type="dxa" w:w="110"/>
            </w:tcMar>
            <w:vAlign w:val="top"/>
          </w:tcPr>
          <w:p>
            <w:r>
              <w:rPr>
                <w:rFonts w:ascii="Jost" w:cs="Jost" w:eastAsia="Jost" w:hAnsi="Jost"/>
                <w:color w:val="1B2233"/>
                <w:sz w:val="21"/>
                <w:szCs w:val="21"/>
              </w:rPr>
              <w:t xml:space="preserve">15-Jul-2026</w:t>
            </w:r>
          </w:p>
        </w:tc>
        <w:tc>
          <w:tcPr>
            <w:tcW w:type="dxa" w:w="4400"/>
            <w:tcMar>
              <w:top w:type="dxa" w:w="90"/>
              <w:left w:type="dxa" w:w="110"/>
              <w:bottom w:type="dxa" w:w="90"/>
              <w:right w:type="dxa" w:w="110"/>
            </w:tcMar>
            <w:vAlign w:val="top"/>
          </w:tcPr>
          <w:p>
            <w:r>
              <w:rPr>
                <w:rFonts w:ascii="Jost" w:cs="Jost" w:eastAsia="Jost" w:hAnsi="Jost"/>
                <w:color w:val="1B2233"/>
                <w:sz w:val="21"/>
                <w:szCs w:val="21"/>
              </w:rPr>
              <w:t xml:space="preserve">Initial issue.</w:t>
            </w:r>
          </w:p>
        </w:tc>
        <w:tc>
          <w:tcPr>
            <w:tcW w:type="dxa" w:w="2150"/>
            <w:tcMar>
              <w:top w:type="dxa" w:w="90"/>
              <w:left w:type="dxa" w:w="110"/>
              <w:bottom w:type="dxa" w:w="90"/>
              <w:right w:type="dxa" w:w="110"/>
            </w:tcMar>
            <w:vAlign w:val="top"/>
          </w:tcPr>
          <w:p>
            <w:r>
              <w:rPr>
                <w:rFonts w:ascii="Jost" w:cs="Jost" w:eastAsia="Jost" w:hAnsi="Jost"/>
                <w:color w:val="1B2233"/>
                <w:sz w:val="21"/>
                <w:szCs w:val="21"/>
              </w:rPr>
              <w:t xml:space="preserve">Data Protection Lead, Aurelyn AI Clinical</w:t>
            </w:r>
          </w:p>
        </w:tc>
      </w:tr>
    </w:tbl>
    <w:p>
      <w:pPr>
        <w:pStyle w:val="Heading2"/>
        <w:spacing w:after="120" w:before="260"/>
      </w:pPr>
      <w:r>
        <w:rPr>
          <w:rFonts w:ascii="Cormorant Garamond" w:cs="Cormorant Garamond" w:eastAsia="Cormorant Garamond" w:hAnsi="Cormorant Garamond"/>
          <w:b/>
          <w:bCs/>
          <w:color w:val="6D4FC7"/>
          <w:sz w:val="27"/>
          <w:szCs w:val="27"/>
        </w:rPr>
        <w:t xml:space="preserve">Appendix H — Approval</w:t>
      </w:r>
    </w:p>
    <w:tbl>
      <w:tblPr>
        <w:tblW w:type="dxa" w:w="9350"/>
        <w:tblBorders>
          <w:top w:val="single" w:color="auto" w:sz="4"/>
          <w:left w:val="single" w:color="auto" w:sz="4"/>
          <w:bottom w:val="single" w:color="auto" w:sz="4"/>
          <w:right w:val="single" w:color="auto" w:sz="4"/>
          <w:insideH w:val="single" w:color="auto" w:sz="4"/>
          <w:insideV w:val="single" w:color="auto" w:sz="4"/>
        </w:tblBorders>
      </w:tblPr>
      <w:tblGrid>
        <w:gridCol w:w="3600"/>
        <w:gridCol w:w="3600"/>
        <w:gridCol w:w="2150"/>
      </w:tblGrid>
      <w:tr>
        <w:trPr>
          <w:tblHeader/>
        </w:trPr>
        <w:tc>
          <w:tcPr>
            <w:tcW w:type="dxa" w:w="36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Role</w:t>
            </w:r>
          </w:p>
        </w:tc>
        <w:tc>
          <w:tcPr>
            <w:tcW w:type="dxa" w:w="360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Name / Signature</w:t>
            </w:r>
          </w:p>
        </w:tc>
        <w:tc>
          <w:tcPr>
            <w:tcW w:type="dxa" w:w="2150"/>
            <w:shd w:fill="0A0E1C" w:val="clear"/>
            <w:tcMar>
              <w:top w:type="dxa" w:w="80"/>
              <w:left w:type="dxa" w:w="110"/>
              <w:bottom w:type="dxa" w:w="80"/>
              <w:right w:type="dxa" w:w="110"/>
            </w:tcMar>
            <w:vAlign w:val="center"/>
          </w:tcPr>
          <w:p>
            <w:r>
              <w:rPr>
                <w:rFonts w:ascii="Jost" w:cs="Jost" w:eastAsia="Jost" w:hAnsi="Jost"/>
                <w:b/>
                <w:bCs/>
                <w:color w:val="FFFFFF"/>
                <w:sz w:val="18"/>
                <w:szCs w:val="18"/>
              </w:rPr>
              <w:t xml:space="preserve">Date</w:t>
            </w:r>
          </w:p>
        </w:tc>
      </w:tr>
      <w:tr>
        <w:tc>
          <w:tcPr>
            <w:tcW w:type="dxa" w:w="3600"/>
            <w:tcMar>
              <w:top w:type="dxa" w:w="90"/>
              <w:left w:type="dxa" w:w="110"/>
              <w:bottom w:type="dxa" w:w="90"/>
              <w:right w:type="dxa" w:w="110"/>
            </w:tcMar>
            <w:vAlign w:val="top"/>
          </w:tcPr>
          <w:p>
            <w:r>
              <w:rPr>
                <w:rFonts w:ascii="Jost" w:cs="Jost" w:eastAsia="Jost" w:hAnsi="Jost"/>
                <w:color w:val="1B2233"/>
                <w:sz w:val="21"/>
                <w:szCs w:val="21"/>
              </w:rPr>
              <w:t xml:space="preserve">Prepared By — Data Protection Lead</w:t>
            </w:r>
          </w:p>
        </w:tc>
        <w:tc>
          <w:tcPr>
            <w:tcW w:type="dxa" w:w="3600"/>
            <w:tcMar>
              <w:top w:type="dxa" w:w="90"/>
              <w:left w:type="dxa" w:w="110"/>
              <w:bottom w:type="dxa" w:w="90"/>
              <w:right w:type="dxa" w:w="110"/>
            </w:tcMar>
            <w:vAlign w:val="top"/>
          </w:tcPr>
          <w:p>
            <w:r>
              <w:rPr>
                <w:rFonts w:ascii="Jost" w:cs="Jost" w:eastAsia="Jost" w:hAnsi="Jost"/>
                <w:color w:val="1B2233"/>
                <w:sz w:val="21"/>
                <w:szCs w:val="21"/>
              </w:rPr>
              <w:t xml:space="preserve"/>
            </w:r>
          </w:p>
        </w:tc>
        <w:tc>
          <w:tcPr>
            <w:tcW w:type="dxa" w:w="2150"/>
            <w:tcMar>
              <w:top w:type="dxa" w:w="90"/>
              <w:left w:type="dxa" w:w="110"/>
              <w:bottom w:type="dxa" w:w="90"/>
              <w:right w:type="dxa" w:w="110"/>
            </w:tcMar>
            <w:vAlign w:val="top"/>
          </w:tcPr>
          <w:p>
            <w:r>
              <w:rPr>
                <w:rFonts w:ascii="Jost" w:cs="Jost" w:eastAsia="Jost" w:hAnsi="Jost"/>
                <w:color w:val="1B2233"/>
                <w:sz w:val="21"/>
                <w:szCs w:val="21"/>
              </w:rPr>
              <w:t xml:space="preserve"/>
            </w:r>
          </w:p>
        </w:tc>
      </w:tr>
      <w:tr>
        <w:tc>
          <w:tcPr>
            <w:tcW w:type="dxa" w:w="3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Approved By — CEO / Chief AI &amp; Innovation Officer</w:t>
            </w:r>
          </w:p>
        </w:tc>
        <w:tc>
          <w:tcPr>
            <w:tcW w:type="dxa" w:w="3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Sheilah Johnson-Rocha</w:t>
            </w:r>
          </w:p>
        </w:tc>
        <w:tc>
          <w:tcPr>
            <w:tcW w:type="dxa" w:w="2150"/>
            <w:shd w:fill="F3F5FA" w:val="clear"/>
            <w:tcMar>
              <w:top w:type="dxa" w:w="90"/>
              <w:left w:type="dxa" w:w="110"/>
              <w:bottom w:type="dxa" w:w="90"/>
              <w:right w:type="dxa" w:w="110"/>
            </w:tcMar>
            <w:vAlign w:val="top"/>
          </w:tcPr>
          <w:p>
            <w:r>
              <w:rPr>
                <w:rFonts w:ascii="Jost" w:cs="Jost" w:eastAsia="Jost" w:hAnsi="Jost"/>
                <w:color w:val="1B2233"/>
                <w:sz w:val="21"/>
                <w:szCs w:val="21"/>
              </w:rPr>
              <w:t xml:space="preserve"/>
            </w:r>
          </w:p>
        </w:tc>
      </w:tr>
      <w:tr>
        <w:tc>
          <w:tcPr>
            <w:tcW w:type="dxa" w:w="3600"/>
            <w:tcMar>
              <w:top w:type="dxa" w:w="90"/>
              <w:left w:type="dxa" w:w="110"/>
              <w:bottom w:type="dxa" w:w="90"/>
              <w:right w:type="dxa" w:w="110"/>
            </w:tcMar>
            <w:vAlign w:val="top"/>
          </w:tcPr>
          <w:p>
            <w:r>
              <w:rPr>
                <w:rFonts w:ascii="Jost" w:cs="Jost" w:eastAsia="Jost" w:hAnsi="Jost"/>
                <w:color w:val="1B2233"/>
                <w:sz w:val="21"/>
                <w:szCs w:val="21"/>
              </w:rPr>
              <w:t xml:space="preserve">Reviewed By — QA / Compliance</w:t>
            </w:r>
          </w:p>
        </w:tc>
        <w:tc>
          <w:tcPr>
            <w:tcW w:type="dxa" w:w="3600"/>
            <w:tcMar>
              <w:top w:type="dxa" w:w="90"/>
              <w:left w:type="dxa" w:w="110"/>
              <w:bottom w:type="dxa" w:w="90"/>
              <w:right w:type="dxa" w:w="110"/>
            </w:tcMar>
            <w:vAlign w:val="top"/>
          </w:tcPr>
          <w:p>
            <w:r>
              <w:rPr>
                <w:rFonts w:ascii="Jost" w:cs="Jost" w:eastAsia="Jost" w:hAnsi="Jost"/>
                <w:color w:val="1B2233"/>
                <w:sz w:val="21"/>
                <w:szCs w:val="21"/>
              </w:rPr>
              <w:t xml:space="preserve"/>
            </w:r>
          </w:p>
        </w:tc>
        <w:tc>
          <w:tcPr>
            <w:tcW w:type="dxa" w:w="2150"/>
            <w:tcMar>
              <w:top w:type="dxa" w:w="90"/>
              <w:left w:type="dxa" w:w="110"/>
              <w:bottom w:type="dxa" w:w="90"/>
              <w:right w:type="dxa" w:w="110"/>
            </w:tcMar>
            <w:vAlign w:val="top"/>
          </w:tcPr>
          <w:p>
            <w:r>
              <w:rPr>
                <w:rFonts w:ascii="Jost" w:cs="Jost" w:eastAsia="Jost" w:hAnsi="Jost"/>
                <w:color w:val="1B2233"/>
                <w:sz w:val="21"/>
                <w:szCs w:val="21"/>
              </w:rPr>
              <w:t xml:space="preserve"/>
            </w:r>
          </w:p>
        </w:tc>
      </w:tr>
      <w:tr>
        <w:tc>
          <w:tcPr>
            <w:tcW w:type="dxa" w:w="3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Reviewed By — Regulatory Affairs</w:t>
            </w:r>
          </w:p>
        </w:tc>
        <w:tc>
          <w:tcPr>
            <w:tcW w:type="dxa" w:w="3600"/>
            <w:shd w:fill="F3F5FA" w:val="clear"/>
            <w:tcMar>
              <w:top w:type="dxa" w:w="90"/>
              <w:left w:type="dxa" w:w="110"/>
              <w:bottom w:type="dxa" w:w="90"/>
              <w:right w:type="dxa" w:w="110"/>
            </w:tcMar>
            <w:vAlign w:val="top"/>
          </w:tcPr>
          <w:p>
            <w:r>
              <w:rPr>
                <w:rFonts w:ascii="Jost" w:cs="Jost" w:eastAsia="Jost" w:hAnsi="Jost"/>
                <w:color w:val="1B2233"/>
                <w:sz w:val="21"/>
                <w:szCs w:val="21"/>
              </w:rPr>
              <w:t xml:space="preserve"/>
            </w:r>
          </w:p>
        </w:tc>
        <w:tc>
          <w:tcPr>
            <w:tcW w:type="dxa" w:w="2150"/>
            <w:shd w:fill="F3F5FA" w:val="clear"/>
            <w:tcMar>
              <w:top w:type="dxa" w:w="90"/>
              <w:left w:type="dxa" w:w="110"/>
              <w:bottom w:type="dxa" w:w="90"/>
              <w:right w:type="dxa" w:w="110"/>
            </w:tcMar>
            <w:vAlign w:val="top"/>
          </w:tcPr>
          <w:p>
            <w:r>
              <w:rPr>
                <w:rFonts w:ascii="Jost" w:cs="Jost" w:eastAsia="Jost" w:hAnsi="Jost"/>
                <w:color w:val="1B2233"/>
                <w:sz w:val="21"/>
                <w:szCs w:val="21"/>
              </w:rPr>
              <w:t xml:space="preserve"/>
            </w:r>
          </w:p>
        </w:tc>
      </w:tr>
    </w:tbl>
    <w:sectPr>
      <w:headerReference w:type="default" r:id="rId9"/>
      <w:footerReference w:type="default" r:id="rId10"/>
      <w:pgSz w:w="12240" w:h="15840" w:orient="portrait"/>
      <w:pgMar w:top="1350" w:right="1080" w:bottom="135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spacing w:before="60"/>
      <w:jc w:val="center"/>
    </w:pPr>
    <w:r>
      <w:rPr>
        <w:rFonts w:ascii="Jost" w:cs="Jost" w:eastAsia="Jost" w:hAnsi="Jost"/>
        <w:color w:val="5B6480"/>
        <w:sz w:val="14"/>
        <w:szCs w:val="14"/>
      </w:rPr>
      <w:t xml:space="preserve">© 2026 Aurelyn AI Clinical. All Rights Reserved.</w:t>
    </w:r>
  </w:p>
  <w:p>
    <w:pPr>
      <w:jc w:val="center"/>
    </w:pPr>
    <w:r>
      <w:rPr>
        <w:rFonts w:ascii="Jost" w:cs="Jost" w:eastAsia="Jost" w:hAnsi="Jost"/>
        <w:color w:val="5B6480"/>
        <w:sz w:val="14"/>
        <w:szCs w:val="14"/>
      </w:rPr>
      <w:t xml:space="preserve">Aurelyn Clinical Engines™ and Aurelyn Trial | OS™ are proprietary frameworks and platforms of Aurelyn AI Clinical.</w:t>
    </w:r>
  </w:p>
  <w:p>
    <w:pPr>
      <w:spacing w:after="60"/>
      <w:jc w:val="center"/>
    </w:pPr>
    <w:r>
      <w:rPr>
        <w:rFonts w:ascii="Jost" w:cs="Jost" w:eastAsia="Jost" w:hAnsi="Jost"/>
        <w:color w:val="5B6480"/>
        <w:sz w:val="14"/>
        <w:szCs w:val="14"/>
      </w:rPr>
      <w:t xml:space="preserve">Unauthorized use, reproduction, or distribution is strictly prohibited.</w:t>
    </w:r>
  </w:p>
  <w:p>
    <w:pPr>
      <w:jc w:val="center"/>
    </w:pPr>
    <w:r>
      <w:rPr>
        <w:rFonts w:ascii="Jost" w:cs="Jost" w:eastAsia="Jost" w:hAnsi="Jost"/>
        <w:color w:val="5B6480"/>
        <w:sz w:val="14"/>
        <w:szCs w:val="14"/>
      </w:rPr>
      <w:t xml:space="preserve">Page </w:t>
    </w:r>
    <w:r>
      <w:rPr>
        <w:rFonts w:ascii="Jost" w:cs="Jost" w:eastAsia="Jost" w:hAnsi="Jost"/>
        <w:color w:val="5B6480"/>
        <w:sz w:val="14"/>
        <w:szCs w:val="14"/>
      </w:rPr>
      <w:fldChar w:fldCharType="begin"/>
      <w:instrText xml:space="preserve">PAGE</w:instrText>
      <w:fldChar w:fldCharType="separate"/>
      <w:fldChar w:fldCharType="end"/>
    </w:r>
    <w:r>
      <w:rPr>
        <w:rFonts w:ascii="Jost" w:cs="Jost" w:eastAsia="Jost" w:hAnsi="Jost"/>
        <w:color w:val="5B6480"/>
        <w:sz w:val="14"/>
        <w:szCs w:val="14"/>
      </w:rPr>
      <w:t xml:space="preserve"> of </w:t>
    </w:r>
    <w:r>
      <w:rPr>
        <w:rFonts w:ascii="Jost" w:cs="Jost" w:eastAsia="Jost" w:hAnsi="Jost"/>
        <w:color w:val="5B6480"/>
        <w:sz w:val="14"/>
        <w:szCs w:val="14"/>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D8DCE8" w:sz="4" w:space="4"/>
      </w:pBdr>
      <w:tabs>
        <w:tab w:val="right" w:pos="9026"/>
      </w:tabs>
    </w:pPr>
    <w:r>
      <w:drawing>
        <wp:inline distT="0" distB="0" distL="0" distR="0">
          <wp:extent cx="209550" cy="1619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0" cstate="none"/>
                  <a:srcRect/>
                  <a:stretch>
                    <a:fillRect/>
                  </a:stretch>
                </pic:blipFill>
                <pic:spPr bwMode="auto">
                  <a:xfrm>
                    <a:off x="0" y="0"/>
                    <a:ext cx="209550" cy="161925"/>
                  </a:xfrm>
                  <a:prstGeom prst="rect">
                    <a:avLst/>
                  </a:prstGeom>
                </pic:spPr>
              </pic:pic>
            </a:graphicData>
          </a:graphic>
        </wp:inline>
      </w:drawing>
    </w:r>
    <w:r>
      <w:rPr>
        <w:rFonts w:ascii="Jost" w:cs="Jost" w:eastAsia="Jost" w:hAnsi="Jost"/>
        <w:color w:val="5B6480"/>
        <w:sz w:val="15"/>
        <w:szCs w:val="15"/>
      </w:rPr>
      <w:t xml:space="preserve">  SOP PRI-002 — GDPR Compliance for Clinical Trials</w:t>
    </w:r>
    <w:r>
      <w:rPr>
        <w:rFonts w:ascii="Jost" w:cs="Jost" w:eastAsia="Jost" w:hAnsi="Jost"/>
        <w:color w:val="5B6480"/>
        <w:sz w:val="15"/>
        <w:szCs w:val="15"/>
      </w:rPr>
      <w:t xml:space="preserve">	Aurelyn AI Clinical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20" w:hanging="260"/>
      </w:pPr>
    </w:lvl>
    <w:lvl w:ilvl="1" w15:tentative="1">
      <w:start w:val="1"/>
      <w:numFmt w:val="bullet"/>
      <w:lvlText w:val="◦"/>
      <w:lvlJc w:val="left"/>
      <w:pPr>
        <w:ind w:left="820" w:hanging="2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Jost" w:cs="Jost" w:eastAsia="Jost" w:hAnsi="Jost"/>
        <w:color w:val="1B2233"/>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50" w:before="300"/>
      <w:outlineLvl w:val="0"/>
    </w:pPr>
    <w:rPr>
      <w:rFonts w:ascii="Cormorant Garamond" w:cs="Cormorant Garamond" w:eastAsia="Cormorant Garamond" w:hAnsi="Cormorant Garamond"/>
      <w:b/>
      <w:bCs/>
      <w:color w:val="0A0E1C"/>
      <w:sz w:val="34"/>
      <w:szCs w:val="34"/>
    </w:rPr>
  </w:style>
  <w:style w:type="paragraph" w:styleId="Heading2">
    <w:name w:val="Heading 2"/>
    <w:basedOn w:val="Normal"/>
    <w:next w:val="Normal"/>
    <w:qFormat/>
    <w:pPr>
      <w:spacing w:after="100" w:before="220"/>
      <w:outlineLvl w:val="1"/>
    </w:pPr>
    <w:rPr>
      <w:rFonts w:ascii="Cormorant Garamond" w:cs="Cormorant Garamond" w:eastAsia="Cormorant Garamond" w:hAnsi="Cormorant Garamond"/>
      <w:b/>
      <w:bCs/>
      <w:color w:val="6D4FC7"/>
      <w:sz w:val="27"/>
      <w:szCs w:val="27"/>
    </w:rPr>
  </w:style>
  <w:style w:type="paragraph" w:styleId="Heading3">
    <w:name w:val="Heading 3"/>
    <w:basedOn w:val="Normal"/>
    <w:next w:val="Normal"/>
    <w:qFormat/>
    <w:pPr>
      <w:spacing w:after="90" w:before="180"/>
      <w:outlineLvl w:val="2"/>
    </w:pPr>
    <w:rPr>
      <w:rFonts w:ascii="Jost" w:cs="Jost" w:eastAsia="Jost" w:hAnsi="Jost"/>
      <w:b/>
      <w:bCs/>
      <w:color w:val="0F9E8E"/>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header" Target="header2.xml"/><Relationship Id="rId10" Type="http://schemas.openxmlformats.org/officeDocument/2006/relationships/footer" Target="footer2.xml"/><Relationship Id="rId11" Type="http://schemas.openxmlformats.org/officeDocument/2006/relationships/image" Target="media/8ffa6b0cbd1a7d464756bbe42005e03c158d5142.png"/><Relationship Id="rId12"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er2.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word/_rels/header2.xml.rels><?xml version="1.0" encoding="UTF-8"?><Relationships xmlns="http://schemas.openxmlformats.org/package/2006/relationships"><Relationship Id="rId0" Type="http://schemas.openxmlformats.org/officeDocument/2006/relationships/image" Target="media/4131fb3e39475d052e3b4676cc717b369d6515bf.png"/></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2026-07-15T22:28:24.194Z</dcterms:created>
  <dcterms:modified xsi:type="dcterms:W3CDTF">2026-07-15T22:28:24.194Z</dcterms:modified>
</cp:coreProperties>
</file>

<file path=docProps/custom.xml><?xml version="1.0" encoding="utf-8"?>
<Properties xmlns="http://schemas.openxmlformats.org/officeDocument/2006/custom-properties" xmlns:vt="http://schemas.openxmlformats.org/officeDocument/2006/docPropsVTypes"/>
</file>